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7665D" w14:textId="77777777" w:rsidR="004E399A" w:rsidRDefault="00000000">
      <w:pPr>
        <w:spacing w:after="80"/>
        <w:jc w:val="center"/>
      </w:pPr>
      <w:r>
        <w:rPr>
          <w:b/>
          <w:sz w:val="36"/>
          <w:szCs w:val="36"/>
        </w:rPr>
        <w:t>TÜRKİYEDE İLAÇTA KALİTE</w:t>
      </w:r>
    </w:p>
    <w:p w14:paraId="49FEC258" w14:textId="77777777" w:rsidR="004E399A" w:rsidRDefault="00000000">
      <w:pPr>
        <w:spacing w:after="320"/>
        <w:jc w:val="center"/>
      </w:pPr>
      <w:r>
        <w:rPr>
          <w:b/>
          <w:sz w:val="26"/>
          <w:szCs w:val="26"/>
        </w:rPr>
        <w:t>Prof. Dr. F. Cankat Tulunay</w:t>
      </w:r>
    </w:p>
    <w:p w14:paraId="4D728B86" w14:textId="77777777" w:rsidR="004E399A" w:rsidRDefault="00000000">
      <w:pPr>
        <w:spacing w:before="240" w:after="100"/>
      </w:pPr>
      <w:r>
        <w:rPr>
          <w:b/>
          <w:sz w:val="28"/>
          <w:szCs w:val="28"/>
        </w:rPr>
        <w:t>Özet</w:t>
      </w:r>
    </w:p>
    <w:p w14:paraId="3E5F808D" w14:textId="77777777" w:rsidR="004E399A" w:rsidRDefault="00000000">
      <w:pPr>
        <w:jc w:val="both"/>
      </w:pPr>
      <w:r>
        <w:t>Bu makale, Türkiye'de ilaç kalitesini jenerik ilaçlar ekseninde çok yönlü olarak ele almaktadır. Biyoeşdeğerlik, Biyofarmasötik Sınıflandırma Sistemi (BCS) ve biyomuafiyet, İyi Üretim Uygulamaları (GMP), yurt dışı üretim tesislerinde güven (reliance) mekanizmasının sınırı, düzenleyici otoritelerin (FDA, EMA, MHRA ve TİTCK) karşılaştırmalı yaklaşımı, CTD ruhsatlandırma sürecinin kapasitesi ve şeffaflığı, veri bütünlüğü, dar terapötik indeksli ilaçlar, yardımcı maddeler, biyobenzerler ve dünyanın en büyük kalite krizleri (digoksin, fenitoin, levotiroksin, heparin, nitrozamin, ranitidin) ayrı başlıklar altında incelenmektedir. Yazının merkezindeki tez tektir: kalite hiçbir zaman varsayılamaz; her ürün, her tesis, her değişiklik, her biyoeşdeğerlik çalışması ve her veri seti bağımsız olarak doğrulanmalıdır. Modern düzenleyici bilim artık "güven" üzerine değil, kanıtlanabilir güven üzerine kuruludur. Türkiye güçlü bir ilaç altyapısına sahiptir; ancak asıl eksiklik kapasitede değil, bağımsız doğrulama ve şeffaflıktadır. Makale, GVK Biosciences ve Semler gibi belgelenmiş uluslararası vakalardan yola çıkarak, dosya üzerinden değerlendirmenin sınırlarını ve EMA'nın EPAR benzeri kamuya açık değerlendirme raporlarının yokluğunun yarattığı denetlenemezliği tartışmakta; piyasa sonrası bağımsız kalite kontrolü, şeffaflık, veri bütünlüğü ve akademik katılımı güçlendiren somut öneriler sunmaktadır.</w:t>
      </w:r>
    </w:p>
    <w:p w14:paraId="70D37823" w14:textId="77777777" w:rsidR="004E399A" w:rsidRDefault="00000000">
      <w:pPr>
        <w:spacing w:before="240" w:after="100"/>
      </w:pPr>
      <w:r>
        <w:rPr>
          <w:b/>
          <w:sz w:val="28"/>
          <w:szCs w:val="28"/>
        </w:rPr>
        <w:t>İçindekiler</w:t>
      </w:r>
    </w:p>
    <w:p w14:paraId="7BB4CB86" w14:textId="77777777" w:rsidR="004E399A" w:rsidRDefault="00000000">
      <w:pPr>
        <w:tabs>
          <w:tab w:val="right" w:leader="dot" w:pos="9406"/>
        </w:tabs>
        <w:spacing w:after="40"/>
      </w:pPr>
      <w:r>
        <w:t>1. Giriş</w:t>
      </w:r>
      <w:r>
        <w:tab/>
        <w:t>3</w:t>
      </w:r>
    </w:p>
    <w:p w14:paraId="61F0DAC6" w14:textId="77777777" w:rsidR="004E399A" w:rsidRDefault="00000000">
      <w:pPr>
        <w:tabs>
          <w:tab w:val="right" w:leader="dot" w:pos="9406"/>
        </w:tabs>
        <w:spacing w:after="40"/>
      </w:pPr>
      <w:r>
        <w:t>2. Jenerik (Eşdeğer) İlaç Nedir?</w:t>
      </w:r>
      <w:r>
        <w:tab/>
        <w:t>4</w:t>
      </w:r>
    </w:p>
    <w:p w14:paraId="7005CAF3" w14:textId="77777777" w:rsidR="004E399A" w:rsidRDefault="00000000">
      <w:pPr>
        <w:tabs>
          <w:tab w:val="right" w:leader="dot" w:pos="9406"/>
        </w:tabs>
        <w:spacing w:after="40"/>
      </w:pPr>
      <w:r>
        <w:t>3. Jenerik İlaçlar Neden Daha Ucuzdur?</w:t>
      </w:r>
      <w:r>
        <w:tab/>
        <w:t>4</w:t>
      </w:r>
    </w:p>
    <w:p w14:paraId="2947B122" w14:textId="77777777" w:rsidR="004E399A" w:rsidRDefault="00000000">
      <w:pPr>
        <w:tabs>
          <w:tab w:val="right" w:leader="dot" w:pos="9406"/>
        </w:tabs>
        <w:spacing w:after="40"/>
      </w:pPr>
      <w:r>
        <w:t>4. Biyoeşdeğerlik</w:t>
      </w:r>
      <w:r>
        <w:tab/>
        <w:t>5</w:t>
      </w:r>
    </w:p>
    <w:p w14:paraId="3E632B8F" w14:textId="77777777" w:rsidR="004E399A" w:rsidRDefault="00000000">
      <w:pPr>
        <w:tabs>
          <w:tab w:val="right" w:leader="dot" w:pos="9406"/>
        </w:tabs>
        <w:spacing w:after="40"/>
      </w:pPr>
      <w:r>
        <w:t>5. Biyofarmasötik Sınıflandırma Sistemi (BCS) ve Biyomuafiyet:</w:t>
      </w:r>
      <w:r>
        <w:tab/>
        <w:t>8</w:t>
      </w:r>
    </w:p>
    <w:p w14:paraId="7D8AEE5A" w14:textId="77777777" w:rsidR="004E399A" w:rsidRDefault="00000000">
      <w:pPr>
        <w:tabs>
          <w:tab w:val="right" w:leader="dot" w:pos="9406"/>
        </w:tabs>
        <w:spacing w:after="40"/>
      </w:pPr>
      <w:r>
        <w:t>6. Kalite Güvencesi Gerçekten Nasıl Sağlanır?</w:t>
      </w:r>
      <w:r>
        <w:tab/>
        <w:t>10</w:t>
      </w:r>
    </w:p>
    <w:p w14:paraId="55E6F7FE" w14:textId="77777777" w:rsidR="004E399A" w:rsidRDefault="00000000">
      <w:pPr>
        <w:tabs>
          <w:tab w:val="right" w:leader="dot" w:pos="9406"/>
        </w:tabs>
        <w:spacing w:after="40"/>
      </w:pPr>
      <w:r>
        <w:t>7. İyi Üretim Uygulamaları (GMP):</w:t>
      </w:r>
      <w:r>
        <w:tab/>
        <w:t>11</w:t>
      </w:r>
    </w:p>
    <w:p w14:paraId="18C4AA83" w14:textId="77777777" w:rsidR="004E399A" w:rsidRDefault="00000000">
      <w:pPr>
        <w:tabs>
          <w:tab w:val="right" w:leader="dot" w:pos="9406"/>
        </w:tabs>
        <w:spacing w:after="40"/>
      </w:pPr>
      <w:r>
        <w:t>8. Düzenleyici Otoriteler: Aynı Kurallar, Farklı Uygulamalar</w:t>
      </w:r>
      <w:r>
        <w:tab/>
        <w:t>16</w:t>
      </w:r>
    </w:p>
    <w:p w14:paraId="4BCE11E5" w14:textId="77777777" w:rsidR="004E399A" w:rsidRDefault="00000000">
      <w:pPr>
        <w:tabs>
          <w:tab w:val="right" w:leader="dot" w:pos="9406"/>
        </w:tabs>
        <w:spacing w:after="40"/>
      </w:pPr>
      <w:r>
        <w:t>9. Dünyanın En Büyük Kalite Krizleri:</w:t>
      </w:r>
      <w:r>
        <w:tab/>
        <w:t>23</w:t>
      </w:r>
    </w:p>
    <w:p w14:paraId="3B9161C6" w14:textId="77777777" w:rsidR="004E399A" w:rsidRDefault="00000000">
      <w:pPr>
        <w:tabs>
          <w:tab w:val="right" w:leader="dot" w:pos="9406"/>
        </w:tabs>
        <w:spacing w:after="40"/>
      </w:pPr>
      <w:r>
        <w:t>10. Dar Terapötik İndeksli İlaçlar:</w:t>
      </w:r>
      <w:r>
        <w:tab/>
        <w:t>34</w:t>
      </w:r>
    </w:p>
    <w:p w14:paraId="5360ABC4" w14:textId="77777777" w:rsidR="004E399A" w:rsidRDefault="00000000">
      <w:pPr>
        <w:tabs>
          <w:tab w:val="right" w:leader="dot" w:pos="9406"/>
        </w:tabs>
        <w:spacing w:after="40"/>
      </w:pPr>
      <w:r>
        <w:t>11. Yardımcı Maddeler Gerçekten "İnert" midir?</w:t>
      </w:r>
      <w:r>
        <w:tab/>
        <w:t>34</w:t>
      </w:r>
    </w:p>
    <w:p w14:paraId="3EAA58F1" w14:textId="77777777" w:rsidR="004E399A" w:rsidRDefault="00000000">
      <w:pPr>
        <w:tabs>
          <w:tab w:val="right" w:leader="dot" w:pos="9406"/>
        </w:tabs>
        <w:spacing w:after="40"/>
      </w:pPr>
      <w:r>
        <w:t>12. Piyasa Sonrası Kalite Kontrolü:</w:t>
      </w:r>
      <w:r>
        <w:tab/>
        <w:t>35</w:t>
      </w:r>
    </w:p>
    <w:p w14:paraId="2822EE1E" w14:textId="77777777" w:rsidR="004E399A" w:rsidRDefault="00000000">
      <w:pPr>
        <w:tabs>
          <w:tab w:val="right" w:leader="dot" w:pos="9406"/>
        </w:tabs>
        <w:spacing w:after="40"/>
      </w:pPr>
      <w:r>
        <w:t>13. Türkiye'de Kalite Güvencesi ve Denetim Var mı?</w:t>
      </w:r>
      <w:r>
        <w:tab/>
        <w:t>35</w:t>
      </w:r>
    </w:p>
    <w:p w14:paraId="5F15C332" w14:textId="77777777" w:rsidR="004E399A" w:rsidRDefault="00000000">
      <w:pPr>
        <w:tabs>
          <w:tab w:val="right" w:leader="dot" w:pos="9406"/>
        </w:tabs>
        <w:spacing w:after="40"/>
      </w:pPr>
      <w:r>
        <w:t>14. En Büyük Yanlış: "Jenerik mi Daha İyi, Orijinal mi?"</w:t>
      </w:r>
      <w:r>
        <w:tab/>
        <w:t>36</w:t>
      </w:r>
    </w:p>
    <w:p w14:paraId="60EE4E3F" w14:textId="77777777" w:rsidR="004E399A" w:rsidRDefault="00000000">
      <w:pPr>
        <w:tabs>
          <w:tab w:val="right" w:leader="dot" w:pos="9406"/>
        </w:tabs>
        <w:spacing w:after="40"/>
      </w:pPr>
      <w:r>
        <w:t>15. Biyobenzer İlaçlar: Jenerik Kavramının Yanlış Kullanıldığı Alan</w:t>
      </w:r>
      <w:r>
        <w:tab/>
        <w:t>36</w:t>
      </w:r>
    </w:p>
    <w:p w14:paraId="313CB51C" w14:textId="77777777" w:rsidR="004E399A" w:rsidRDefault="00000000">
      <w:pPr>
        <w:tabs>
          <w:tab w:val="right" w:leader="dot" w:pos="9406"/>
        </w:tabs>
        <w:spacing w:after="40"/>
      </w:pPr>
      <w:r>
        <w:t>16. Geleceğin Kalite Güvencesi: Yapay Zekâ, Sürekli Üretim ve Gerçek Yaşam Verileri</w:t>
      </w:r>
      <w:r>
        <w:tab/>
        <w:t>37</w:t>
      </w:r>
    </w:p>
    <w:p w14:paraId="00FCAE12" w14:textId="77777777" w:rsidR="004E399A" w:rsidRDefault="00000000">
      <w:pPr>
        <w:tabs>
          <w:tab w:val="right" w:leader="dot" w:pos="9406"/>
        </w:tabs>
        <w:spacing w:after="40"/>
      </w:pPr>
      <w:r>
        <w:lastRenderedPageBreak/>
        <w:t>17. Öneriler ve Bilimsel Yol Haritası</w:t>
      </w:r>
      <w:r>
        <w:tab/>
        <w:t>37</w:t>
      </w:r>
    </w:p>
    <w:p w14:paraId="78AE932C" w14:textId="77777777" w:rsidR="004E399A" w:rsidRDefault="00000000">
      <w:pPr>
        <w:tabs>
          <w:tab w:val="right" w:leader="dot" w:pos="9406"/>
        </w:tabs>
        <w:spacing w:after="40"/>
      </w:pPr>
      <w:r>
        <w:t>18. Kalite Güvencesinde Sessiz Tehlike: Aynı İlaç, Farklı Fabrika, Farklı Klinik Sonuç</w:t>
      </w:r>
      <w:r>
        <w:tab/>
        <w:t>38</w:t>
      </w:r>
    </w:p>
    <w:p w14:paraId="5C50E663" w14:textId="77777777" w:rsidR="004E399A" w:rsidRDefault="00000000">
      <w:pPr>
        <w:tabs>
          <w:tab w:val="right" w:leader="dot" w:pos="9406"/>
        </w:tabs>
        <w:spacing w:after="40"/>
      </w:pPr>
      <w:r>
        <w:t>19. Referans Ürün Kavramı Yeniden Tartışılmalıdır</w:t>
      </w:r>
      <w:r>
        <w:tab/>
        <w:t>39</w:t>
      </w:r>
    </w:p>
    <w:p w14:paraId="26A33C75" w14:textId="77777777" w:rsidR="004E399A" w:rsidRDefault="00000000">
      <w:pPr>
        <w:tabs>
          <w:tab w:val="right" w:leader="dot" w:pos="9406"/>
        </w:tabs>
        <w:spacing w:after="40"/>
      </w:pPr>
      <w:r>
        <w:t>20. Kalite Ekonomisinin Görünmeyen Yüzü</w:t>
      </w:r>
      <w:r>
        <w:tab/>
        <w:t>39</w:t>
      </w:r>
    </w:p>
    <w:p w14:paraId="5F531BD6" w14:textId="77777777" w:rsidR="004E399A" w:rsidRDefault="00000000">
      <w:pPr>
        <w:tabs>
          <w:tab w:val="right" w:leader="dot" w:pos="9406"/>
        </w:tabs>
        <w:spacing w:after="40"/>
      </w:pPr>
      <w:r>
        <w:t>21. İlaç Ruhsatlandırmasında "Güven" Yerine "Doğrulama"</w:t>
      </w:r>
      <w:r>
        <w:tab/>
        <w:t>39</w:t>
      </w:r>
    </w:p>
    <w:p w14:paraId="125FB796" w14:textId="77777777" w:rsidR="004E399A" w:rsidRDefault="00000000">
      <w:pPr>
        <w:tabs>
          <w:tab w:val="right" w:leader="dot" w:pos="9406"/>
        </w:tabs>
        <w:spacing w:after="40"/>
      </w:pPr>
      <w:r>
        <w:t>22. CTD Dosyası ve TİTCK Ruhsatlandırma Sistemi: Bilimsel Değerlendirme mi, Beyana Güven mi?</w:t>
      </w:r>
      <w:r>
        <w:tab/>
        <w:t>40</w:t>
      </w:r>
    </w:p>
    <w:p w14:paraId="7D12BCF8" w14:textId="77777777" w:rsidR="004E399A" w:rsidRDefault="00000000">
      <w:pPr>
        <w:tabs>
          <w:tab w:val="right" w:leader="dot" w:pos="9406"/>
        </w:tabs>
        <w:spacing w:after="40"/>
      </w:pPr>
      <w:r>
        <w:t>23. Kalite Güvencesinde Akademinin Rolü: Eleştiri Bir Tehdit Değil, Güvencedir</w:t>
      </w:r>
      <w:r>
        <w:tab/>
        <w:t>42</w:t>
      </w:r>
    </w:p>
    <w:p w14:paraId="52E8813C" w14:textId="77777777" w:rsidR="004E399A" w:rsidRDefault="00000000">
      <w:pPr>
        <w:tabs>
          <w:tab w:val="right" w:leader="dot" w:pos="9406"/>
        </w:tabs>
        <w:spacing w:after="40"/>
      </w:pPr>
      <w:r>
        <w:t>24. Farmakovijilans: Kalitenin Bittiği Yer Değil, Asıl Sınandığı Yer</w:t>
      </w:r>
      <w:r>
        <w:tab/>
        <w:t>42</w:t>
      </w:r>
    </w:p>
    <w:p w14:paraId="3CB2C07A" w14:textId="77777777" w:rsidR="004E399A" w:rsidRDefault="00000000">
      <w:pPr>
        <w:tabs>
          <w:tab w:val="right" w:leader="dot" w:pos="9406"/>
        </w:tabs>
        <w:spacing w:after="40"/>
      </w:pPr>
      <w:r>
        <w:t>25. Biyoeşdeğerlik Çalışmaları Gerçekten Kusursuz mu?</w:t>
      </w:r>
      <w:r>
        <w:tab/>
        <w:t>43</w:t>
      </w:r>
    </w:p>
    <w:p w14:paraId="308ECE74" w14:textId="77777777" w:rsidR="004E399A" w:rsidRDefault="00000000">
      <w:pPr>
        <w:tabs>
          <w:tab w:val="right" w:leader="dot" w:pos="9406"/>
        </w:tabs>
        <w:spacing w:after="40"/>
      </w:pPr>
      <w:r>
        <w:t>26. Biyoeşdeğerlik ile Klinik Eşdeğerlik Aynı Şey Değildir</w:t>
      </w:r>
      <w:r>
        <w:tab/>
        <w:t>43</w:t>
      </w:r>
    </w:p>
    <w:p w14:paraId="71931294" w14:textId="77777777" w:rsidR="004E399A" w:rsidRDefault="00000000">
      <w:pPr>
        <w:tabs>
          <w:tab w:val="right" w:leader="dot" w:pos="9406"/>
        </w:tabs>
        <w:spacing w:after="40"/>
      </w:pPr>
      <w:r>
        <w:t>27. Biyoeşdeğerlik Merkezlerinin Akreditasyonu Yeterli mi? — Belgelenmiş Skandalların Dersi</w:t>
      </w:r>
      <w:r>
        <w:tab/>
        <w:t>43</w:t>
      </w:r>
    </w:p>
    <w:p w14:paraId="323C9AD2" w14:textId="77777777" w:rsidR="004E399A" w:rsidRDefault="00000000">
      <w:pPr>
        <w:tabs>
          <w:tab w:val="right" w:leader="dot" w:pos="9406"/>
        </w:tabs>
        <w:spacing w:after="40"/>
      </w:pPr>
      <w:r>
        <w:t>28. Kalite Kültürü Oluşturulabilir mi?</w:t>
      </w:r>
      <w:r>
        <w:tab/>
        <w:t>44</w:t>
      </w:r>
    </w:p>
    <w:p w14:paraId="5A0C4912" w14:textId="77777777" w:rsidR="004E399A" w:rsidRDefault="00000000">
      <w:pPr>
        <w:tabs>
          <w:tab w:val="right" w:leader="dot" w:pos="9406"/>
        </w:tabs>
        <w:spacing w:after="40"/>
      </w:pPr>
      <w:r>
        <w:t>29. Genel Değerlendirme ve Ana Mesaj</w:t>
      </w:r>
      <w:r>
        <w:tab/>
        <w:t>44</w:t>
      </w:r>
    </w:p>
    <w:p w14:paraId="245C2F20" w14:textId="77777777" w:rsidR="004E399A" w:rsidRDefault="00000000">
      <w:pPr>
        <w:tabs>
          <w:tab w:val="right" w:leader="dot" w:pos="9406"/>
        </w:tabs>
        <w:spacing w:after="40"/>
      </w:pPr>
      <w:r>
        <w:t>30. Makalenin Son Sözü</w:t>
      </w:r>
      <w:r>
        <w:tab/>
        <w:t>45</w:t>
      </w:r>
    </w:p>
    <w:p w14:paraId="110E3382" w14:textId="1F18553B" w:rsidR="00DF1BC2" w:rsidRDefault="00DF1BC2">
      <w:pPr>
        <w:tabs>
          <w:tab w:val="right" w:leader="dot" w:pos="9406"/>
        </w:tabs>
        <w:spacing w:after="40"/>
      </w:pPr>
      <w:proofErr w:type="gramStart"/>
      <w:r>
        <w:t>kaynaklar</w:t>
      </w:r>
      <w:proofErr w:type="gramEnd"/>
    </w:p>
    <w:p w14:paraId="7F88B490" w14:textId="77777777" w:rsidR="004E399A" w:rsidRDefault="00000000">
      <w:r>
        <w:br w:type="page"/>
      </w:r>
    </w:p>
    <w:p w14:paraId="3A8405A1" w14:textId="77777777" w:rsidR="00E55AEB" w:rsidRPr="00754EC9" w:rsidRDefault="00E55AEB" w:rsidP="00754EC9">
      <w:pPr>
        <w:spacing w:before="100" w:beforeAutospacing="1" w:after="100" w:afterAutospacing="1" w:line="240" w:lineRule="auto"/>
        <w:jc w:val="both"/>
        <w:outlineLvl w:val="0"/>
        <w:rPr>
          <w:rFonts w:cs="Times New Roman"/>
          <w:b/>
          <w:bCs/>
          <w:noProof/>
          <w:kern w:val="36"/>
          <w:sz w:val="48"/>
          <w:szCs w:val="48"/>
          <w14:ligatures w14:val="none"/>
        </w:rPr>
      </w:pPr>
      <w:r>
        <w:rPr>
          <w:rFonts w:cs="Times New Roman"/>
          <w:b/>
          <w:bCs/>
          <w:noProof/>
          <w:kern w:val="36"/>
          <w:sz w:val="32"/>
          <w:szCs w:val="48"/>
          <w14:ligatures w14:val="none"/>
        </w:rPr>
        <w:lastRenderedPageBreak/>
        <w:t>1. Giriş</w:t>
      </w:r>
    </w:p>
    <w:p w14:paraId="75D8BAFD" w14:textId="77777777" w:rsidR="00E55AEB" w:rsidRPr="00754EC9" w:rsidRDefault="00E55AEB"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Jenerik ilaçlar modern sağlık sistemlerinin ekonomik sürdürülebilirliğinin temel taşlarından biridir. Günümüzde gelişmiş ülkelerde reçetelerin büyük çoğunluğu jenerik ilaçlarla karşılanmakta, buna karşılık toplam ilaç harcamalarının yalnızca küçük bir bölümü bu ürünlere ayrılmaktadır. Patent koruma süresi sona eren ilaçların jeneriklerinin kullanıma girmesi, milyonlarca hastanın tedaviye erişimini kolaylaştırmakta ve kamu sağlık bütçeleri üzerinde oluşabilecek yükü önemli ölçüde azaltmaktadır. Başka bir ifadeyle jenerik ilaçlar olmaksızın günümüz sağlık sistemlerinin finansal olarak sürdürülebilir olması neredeyse olanaksızdır.</w:t>
      </w:r>
    </w:p>
    <w:p w14:paraId="168A8362" w14:textId="77777777" w:rsidR="00E55AEB" w:rsidRPr="00754EC9" w:rsidRDefault="00E55AEB"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Bununla birlikte, jenerik ilaçların yaygınlaşmasıyla birlikte kamuoyunda yıllardır değişmeyen bir tartışma da sürmektedir. Eczanede reçetesini uzatan birçok hasta, "Orijinalini mi alayım, yoksa eşdeğerini mi?" sorusuyla karşı karşıya kalmaktadır. Bu soru çoğu zaman yalnızca ticari bir tercih değildir; ilacın güvenilirliği, etkinliği ve kalitesi konusunda duyulan kaygının dışa vurumudur. Toplumda yaygın biçimde kabul gören düşünce, pahalı olan ilacın daha kaliteli, ucuz olanın ise daha düşük standartta olduğu yönündedir. Oysa bilimsel gerçekler bu kadar basit değildir.</w:t>
      </w:r>
    </w:p>
    <w:p w14:paraId="5ADF09A9" w14:textId="77777777" w:rsidR="00E55AEB" w:rsidRPr="00754EC9" w:rsidRDefault="00E55AEB"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Bir ilacın fiyatı ile kalitesi arasında doğrudan bir ilişki yoktur. Orijinal ilaçların pahalı olmasının temel nedeni, yıllarca süren araştırma-geliştirme faaliyetleri, başarısız klinik araştırmaların maliyetleri, patent koruması ve yoğun pazarlama giderleridir. Jenerik üretici ise etkinliği ve güvenliliği daha önce kanıtlanmış bir molekülü yeniden geliştirmediği için bu maliyetlerin büyük bölümünü üstlenmez. Bu nedenle daha düşük fiyat, tek başına kalite düşüklüğünün göstergesi değildir.</w:t>
      </w:r>
    </w:p>
    <w:p w14:paraId="3982880A" w14:textId="77777777" w:rsidR="00E55AEB" w:rsidRPr="00754EC9" w:rsidRDefault="00E55AEB"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Ancak bundan hareketle "bütün jenerik ilaçlar otomatik olarak aynı kalitededir" sonucuna ulaşmak da bilimsel olarak doğru değildir. Jenerik ilaçların güvenilirliği yalnızca ruhsatlandırma aşamasında yapılan biyoeşdeğerlik çalışmasına indirgenemez. Kalite; hammaddenin niteliğinden üretim prosesine, yardımcı maddelerin seçiminden farmasötik tasarıma, biyoeşdeğerlik çalışmalarının güvenilirliğinden düzenleyici otoritelerin denetim kapasitesine kadar uzanan çok katmanlı bir sistemin ürünüdür. Bu zincirin herhangi bir halkasındaki zayıflık, teorik olarak eşdeğer kabul edilen iki ürün arasında klinik açıdan anlamlı farklılıkların ortaya çıkmasına neden olabilir.</w:t>
      </w:r>
    </w:p>
    <w:p w14:paraId="5FA9B3D5" w14:textId="77777777" w:rsidR="00E55AEB" w:rsidRPr="00754EC9" w:rsidRDefault="00E55AEB"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Son yıllarda yaşanan uluslararası olaylar bu gerçeği açık biçimde göstermiştir. Hindistan'daki biyoeşdeğerlik merkezlerinde ortaya çıkan veri manipülasyonları, Çin kaynaklı kontamine heparin skandalı, nitrozamin kirliliği nedeniyle dünya çapında geri çekilen ilaçlar ve büyük çok uluslu firmalarda dahi üretim değişikliklerinden sonra yeniden biyoeşdeğerlik çalışması yapılması zorunluluğu, ilaç kalitesinin yalnızca ruhsat anında verilen tek bir kararla güvence altına alınamayacağını göstermektedir. Kalite, üretimin başladığı gün değil, ürün piyasadan çekilinceye kadar sürekli doğrulanması gereken dinamik bir süreçtir.</w:t>
      </w:r>
    </w:p>
    <w:p w14:paraId="0C64E82B" w14:textId="77777777" w:rsidR="00E55AEB" w:rsidRPr="00754EC9" w:rsidRDefault="00E55AEB"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Bu nedenle jenerik ilaç tartışmasının merkezinde aslında jenerik ilaçlar değil, düzenleyici sistemlerin gücü bulunmaktadır. Güçlü bir düzenleyici otoriteye sahip ülkelerde kaliteli jenerik üretmek mümkündür; zayıf denetim mekanizmalarının bulunduğu ülkelerde ise aynı sorun yalnızca jenerik ilaçlarda değil, orijinal ilaçlarda da ortaya çıkabilir. Dolayısıyla doğru soru "Jenerik ilaçlar güvenilir midir?" değildir. Asıl sorulması gereken soru</w:t>
      </w:r>
      <w:r>
        <w:rPr>
          <w:rFonts w:cs="Times New Roman"/>
          <w:kern w:val="0"/>
          <w14:ligatures w14:val="none"/>
        </w:rPr>
        <w:t xml:space="preserve"> b</w:t>
      </w:r>
      <w:r>
        <w:rPr>
          <w:rFonts w:cs="Times New Roman"/>
          <w:bCs/>
          <w:noProof/>
          <w:kern w:val="0"/>
          <w14:ligatures w14:val="none"/>
        </w:rPr>
        <w:t xml:space="preserve">ir ülkenin düzenleyici </w:t>
      </w:r>
      <w:r>
        <w:rPr>
          <w:rFonts w:cs="Times New Roman"/>
          <w:bCs/>
          <w:noProof/>
          <w:kern w:val="0"/>
          <w14:ligatures w14:val="none"/>
        </w:rPr>
        <w:lastRenderedPageBreak/>
        <w:t>sistemi, piyasaya sunduğu her ilacın kalite güvencesini yaşam döngüsü boyunca sağlayabilecek bilimsel ve kurumsal kapasiteye sahip midir?</w:t>
      </w:r>
    </w:p>
    <w:p w14:paraId="162B81C8" w14:textId="77777777" w:rsidR="00E55AEB" w:rsidRPr="00754EC9" w:rsidRDefault="00E55AEB"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Bu makalenin temel amacı da tam olarak bu soruya bilimsel veriler ışığında yanıt aramaktır. Jenerik ilaçların ruhsatlandırılmasında kullanılan biyoeşdeğerlik yaklaşımı, iyi üretim uygulamaları (GMP), biyofarmasötik sınıflandırma sistemi (BCS), düzenleyici otoritelerin uygulamaları ve piyasa sonrası kalite kontrol mekanizmaları eleştirel bir bakış açısıyla incelenecek; özellikle Türkiye'nin mevcut yapısı Avrupa Birliği, Amerika Birleşik Devletleri ve uluslararası standartlarla karşılaştırılarak değerlendirilecektir. Amaç ne jenerik ilaçları savunmak ne de gereksiz biçimde eleştirmektir. Amaç, kalite güvencesinin gerçekten nerede başladığını, nerede zayıfladığını ve hangi koşullarda hastaların güvenle jenerik ilaç kullanabileceğini bilimsel kanıtlar temelinde ortaya koymaktır.</w:t>
      </w:r>
    </w:p>
    <w:p w14:paraId="1E1E8610" w14:textId="77777777" w:rsidR="00E55AEB" w:rsidRPr="00754EC9" w:rsidRDefault="00E55AEB" w:rsidP="00754EC9">
      <w:pPr>
        <w:spacing w:before="100" w:beforeAutospacing="1" w:after="100" w:afterAutospacing="1" w:line="240" w:lineRule="auto"/>
        <w:jc w:val="both"/>
        <w:outlineLvl w:val="0"/>
        <w:rPr>
          <w:rFonts w:cs="Times New Roman"/>
          <w:b/>
          <w:bCs/>
          <w:noProof/>
          <w:kern w:val="36"/>
          <w:sz w:val="48"/>
          <w:szCs w:val="48"/>
          <w14:ligatures w14:val="none"/>
        </w:rPr>
      </w:pPr>
      <w:r>
        <w:rPr>
          <w:rFonts w:cs="Times New Roman"/>
          <w:b/>
          <w:bCs/>
          <w:noProof/>
          <w:kern w:val="36"/>
          <w:sz w:val="32"/>
          <w:szCs w:val="48"/>
          <w14:ligatures w14:val="none"/>
        </w:rPr>
        <w:t>2. Jenerik (Eşdeğer) İlaç Nedir?</w:t>
      </w:r>
    </w:p>
    <w:p w14:paraId="1409D454" w14:textId="77777777" w:rsidR="00E55AEB" w:rsidRPr="00754EC9" w:rsidRDefault="00E55AEB"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Bir ilacın patent koruma süresi dolduktan sonra aynı etkin maddeyi, aynı dozda, aynı farmasötik formda ve aynı uygulama yolu ile üreten diğer firmalar tarafından geliştirilen ürünlere jenerik (eşdeğer) ilaç adı verilir. Patent süresi ülkeden ülkeye farklılık göstermekle birlikte genellikle yirmi yıl civarındadır. Bu sürenin sonunda molekül üzerindeki fikri mülkiyet koruması sona erer ve diğer üreticiler de aynı etkin maddeyi piyasaya sunabilir.</w:t>
      </w:r>
    </w:p>
    <w:p w14:paraId="58235D0D" w14:textId="77777777" w:rsidR="00E55AEB" w:rsidRPr="00754EC9" w:rsidRDefault="00E55AEB"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Ancak burada sıklıkla gözden kaçan önemli bir nokta vardır. Jenerik ilaç, orijinal ilacın birebir kopyası değildir. Etkin madde aynı olmak zorundadır; buna karşılık yardımcı maddeler, tablet teknolojisi, kaplama materyali, granülasyon yöntemi, üretim prosesi, sıkıştırma basıncı ve hatta üretim tesisi tamamen farklı olabilir. Bu nedenle farmasötik eşdeğerlik ile biyoeşdeğerlik aynı kavram değildir. İki ürünün etiketinde aynı miktarda etkin madde yazıyor olması, bunların insan vücudunda aynı farmakokinetik davranışı göstereceği anlamına gelmez. İşte bu nedenle düzenleyici otoriteler jenerik ilaçlardan biyoeşdeğerlik çalışması istemektedir.</w:t>
      </w:r>
    </w:p>
    <w:p w14:paraId="5FB5A0F3" w14:textId="77777777" w:rsidR="00E55AEB" w:rsidRPr="00754EC9" w:rsidRDefault="00E55AEB"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Biyoeşdeğerlik çalışmasının temel amacı, jenerik ürünün etkin maddeyi referans ürünle aynı hız ve aynı miktarda dolaşıma ulaştırabildiğini göstermektir. Ancak burada da önemli bir yanlış algı bulunmaktadır. Biyoeşdeğerlik çalışması ilacın etkinliğini yeniden kanıtlamaz; çünkü etkinlik zaten referans ürün için daha önce faz I, II ve III klinik araştırmalarında gösterilmiştir. Jenerik üreticinin görevi, aynı klinik sonucu sağlayacak farmakokinetik davranışı gösterebildiğini kanıtlamaktır.</w:t>
      </w:r>
    </w:p>
    <w:p w14:paraId="55EC7353" w14:textId="77777777" w:rsidR="00E55AEB" w:rsidRPr="00754EC9" w:rsidRDefault="00E55AEB"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Bu yaklaşım teorik olarak son derece rasyoneldir. Fakat uygulamanın başarısı tamamen biyoeşdeğerlik çalışmasının kalitesine, üretim standardına ve düzenleyici denetimin etkinliğine bağlıdır. Dolayısıyla jenerik sisteminin başarısı yalnızca mevzuata değil, mevzuatın bilimsel titizlikle uygulanmasına bağlıdır.</w:t>
      </w:r>
    </w:p>
    <w:p w14:paraId="6B112A51" w14:textId="77777777" w:rsidR="00E55AEB" w:rsidRPr="00754EC9" w:rsidRDefault="00E55AEB" w:rsidP="00754EC9">
      <w:pPr>
        <w:spacing w:before="100" w:beforeAutospacing="1" w:after="100" w:afterAutospacing="1" w:line="240" w:lineRule="auto"/>
        <w:jc w:val="both"/>
        <w:outlineLvl w:val="0"/>
        <w:rPr>
          <w:rFonts w:cs="Times New Roman"/>
          <w:b/>
          <w:bCs/>
          <w:noProof/>
          <w:kern w:val="36"/>
          <w:sz w:val="48"/>
          <w:szCs w:val="48"/>
          <w14:ligatures w14:val="none"/>
        </w:rPr>
      </w:pPr>
      <w:r>
        <w:rPr>
          <w:rFonts w:cs="Times New Roman"/>
          <w:b/>
          <w:bCs/>
          <w:noProof/>
          <w:kern w:val="36"/>
          <w:sz w:val="32"/>
          <w:szCs w:val="48"/>
          <w14:ligatures w14:val="none"/>
        </w:rPr>
        <w:t>3. Jenerik İlaçlar Neden Daha Ucuzdur?</w:t>
      </w:r>
    </w:p>
    <w:p w14:paraId="0C91463D" w14:textId="77777777" w:rsidR="00E55AEB" w:rsidRPr="00754EC9" w:rsidRDefault="00E55AEB"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Kamuoyunda en sık karşılaşılan yanlış inanışlardan biri, düşük fiyatın düşük kaliteyi yansıttığı düşüncesidir. Oysa jenerik ilaçların düşük fiyatlı olmasının temel nedeni kalite değil, ekonomik modeldir.</w:t>
      </w:r>
    </w:p>
    <w:p w14:paraId="3C403959" w14:textId="77777777" w:rsidR="00E55AEB" w:rsidRPr="00754EC9" w:rsidRDefault="00E55AEB"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lastRenderedPageBreak/>
        <w:t>Orijinal bir ilacın geliştirilmesi çoğu zaman on yılı aşan bir araştırma sürecini gerektirir. Binlerce aday molekül arasından yalnızca çok azı klinik araştırmalara ulaşabilir ve bunların da küçük bir bölümü ruhsat alabilir. Başarısız araştırmaların maliyetleri de başarılı ilacın fiyatına yansıtılır. Bunun yanında toksisite çalışmaları, faz araştırmaları, düzenleyici başvurular, üretim yatırımları ve küresel pazarlama faaliyetleri milyarlarca dolarlık yatırım gerektirebilir.</w:t>
      </w:r>
    </w:p>
    <w:p w14:paraId="06E4E51A" w14:textId="77777777" w:rsidR="00E55AEB" w:rsidRPr="00754EC9" w:rsidRDefault="00E55AEB"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Jenerik üretici ise bu araştırmaların hiçbirini yeniden yapmak zorunda değildir. Molekülün etkinliği ve güvenliliği zaten bilimsel olarak gösterilmiş durumdadır. Yapılması gereken temel işlem, aynı etkin maddeyi uygun farmasötik kalite standartlarında üretmek ve referans ürünle biyoeşdeğer olduğunu göstermektir.</w:t>
      </w:r>
    </w:p>
    <w:p w14:paraId="1635BACA" w14:textId="77777777" w:rsidR="00E55AEB" w:rsidRPr="00754EC9" w:rsidRDefault="00E55AEB"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Bu nedenle jenerik ilaçların ucuzluğu, bilimsel olarak kalite eksikliğinin değil, araştırma maliyetlerinin tekrar edilmemesinin doğal sonucudur. Ancak bu ekonomik avantaj, kalite güvencesinin ikinci plana itilmesine gerekçe oluşturamaz. Tam tersine, araştırma yükünün azalması düzenleyici denetimin önemini daha da artırmaktadır.</w:t>
      </w:r>
    </w:p>
    <w:p w14:paraId="264B8E88" w14:textId="77777777" w:rsidR="00374B86" w:rsidRPr="00754EC9" w:rsidRDefault="00374B86" w:rsidP="00754EC9">
      <w:pPr>
        <w:spacing w:before="100" w:beforeAutospacing="1" w:after="100" w:afterAutospacing="1" w:line="240" w:lineRule="auto"/>
        <w:jc w:val="both"/>
        <w:outlineLvl w:val="0"/>
        <w:rPr>
          <w:rFonts w:cs="Times New Roman"/>
          <w:b/>
          <w:bCs/>
          <w:noProof/>
          <w:kern w:val="36"/>
          <w:sz w:val="48"/>
          <w:szCs w:val="48"/>
          <w14:ligatures w14:val="none"/>
        </w:rPr>
      </w:pPr>
      <w:r>
        <w:rPr>
          <w:rFonts w:cs="Times New Roman"/>
          <w:b/>
          <w:bCs/>
          <w:noProof/>
          <w:kern w:val="36"/>
          <w:sz w:val="32"/>
          <w:szCs w:val="48"/>
          <w14:ligatures w14:val="none"/>
        </w:rPr>
        <w:t>4. Biyoeşdeğerlik</w:t>
      </w:r>
    </w:p>
    <w:p w14:paraId="3BA7C542"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Jenerik ilaç ruhsatlandırmasının temelini biyoeşdeğerlik (BE) çalışmaları oluşturur. Ancak biyoeşdeğerlik, ilaç dünyasında en fazla yanlış anlaşılan kavramlardan biridir. Kamuoyunda çoğu zaman "aynı etkiyi gösteriyor" şeklinde özetlenen bu yaklaşım, gerçekte oldukça karmaşık istatistiksel ve farmakokinetik ilkelere dayanmaktadır. Dahası, biyoeşdeğerlik çalışmasının başarılı olması her durumda klinik eşdeğerliğin mutlak garantisi değildir. Bu nedenle biyoeşdeğerlik kavramını yalnızca düzenleyici bir formalite olarak görmek, ilacın kalite güvencesinin özünü gözden kaçırmak anlamına gelir.</w:t>
      </w:r>
    </w:p>
    <w:p w14:paraId="2E474441"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Biyoeşdeğerlik çalışmaları esas olarak sağlıklı gönüllülerde yürütülen randomize, çapraz (cross-over) tasarımlı farmakokinetik araştırmalardır. Aynı gönüllüye farklı zamanlarda referans ve test preparatı uygulanır; daha sonra belirli zaman aralıklarında alınan kan örneklerinde ilaç konsantrasyonları ölçülür. Amaç ilacın klinik etkinliğini yeniden göstermek değil, sistemik dolaşıma ulaşan etkin madde miktarının ve hızının referans ürünle karşılaştırılabilir olduğunu ortaya koymaktır.</w:t>
      </w:r>
    </w:p>
    <w:p w14:paraId="7F122BD4"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Bu değerlendirmede üç temel farmakokinetik parametre kullanılır. Bunlardan ilki kandaki en yüksek ilaç konsantrasyonunu gösteren </w:t>
      </w:r>
      <w:r>
        <w:rPr>
          <w:rFonts w:cs="Times New Roman"/>
          <w:bCs/>
          <w:noProof/>
          <w:kern w:val="0"/>
          <w14:ligatures w14:val="none"/>
        </w:rPr>
        <w:t>Cmax</w:t>
      </w:r>
      <w:r>
        <w:rPr>
          <w:rFonts w:cs="Times New Roman"/>
          <w:noProof/>
          <w:kern w:val="0"/>
          <w14:ligatures w14:val="none"/>
        </w:rPr>
        <w:t xml:space="preserve">, ikincisi toplam sistemik maruziyeti gösteren </w:t>
      </w:r>
      <w:r>
        <w:rPr>
          <w:rFonts w:cs="Times New Roman"/>
          <w:bCs/>
          <w:noProof/>
          <w:kern w:val="0"/>
          <w14:ligatures w14:val="none"/>
        </w:rPr>
        <w:t>AUC (Area Under the Curve)</w:t>
      </w:r>
      <w:r>
        <w:rPr>
          <w:rFonts w:cs="Times New Roman"/>
          <w:noProof/>
          <w:kern w:val="0"/>
          <w14:ligatures w14:val="none"/>
        </w:rPr>
        <w:t xml:space="preserve">, üçüncüsü ise maksimum konsantrasyona ulaşma süresini ifade eden </w:t>
      </w:r>
      <w:r>
        <w:rPr>
          <w:rFonts w:cs="Times New Roman"/>
          <w:bCs/>
          <w:noProof/>
          <w:kern w:val="0"/>
          <w14:ligatures w14:val="none"/>
        </w:rPr>
        <w:t>Tmax</w:t>
      </w:r>
      <w:r>
        <w:rPr>
          <w:rFonts w:cs="Times New Roman"/>
          <w:noProof/>
          <w:kern w:val="0"/>
          <w14:ligatures w14:val="none"/>
        </w:rPr>
        <w:t xml:space="preserve"> değeridir. Düzenleyici kararların temelini esas olarak Cmax ve AUC oluşturur; Tmax ise çoğunlukla destekleyici parametre olarak değerlendirilmektedir.</w:t>
      </w:r>
    </w:p>
    <w:p w14:paraId="77286963"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Ancak kamuoyunda ve hatta bazı sağlık çalışanları arasında sık karşılaşılan önemli bir yanlış anlama bulunmaktadır. Biyoeşdeğerlik değerlendirmesinde kullanılan "%80–125" sınırı, ilacın etkisinin yüzde seksen ile yüzde yüz yirmi beş arasında değişebileceği anlamına gelmez. Gerçekte değerlendirilen büyüklük, logaritmik dönüşüm uygulanmış farmakokinetik parametrelerin geometrik ortalamalarının oranıdır. İstatistiksel analiz sonunda elde edilen %90 güven aralığının 0,80 ile 1,25 sınırları içinde kalması istenir. Başka bir ifadeyle değerlendirilen, tek tek bireylerin </w:t>
      </w:r>
      <w:r>
        <w:rPr>
          <w:rFonts w:cs="Times New Roman"/>
          <w:noProof/>
          <w:kern w:val="0"/>
          <w14:ligatures w14:val="none"/>
        </w:rPr>
        <w:lastRenderedPageBreak/>
        <w:t>ilaç düzeyleri değil, iki preparatın ortalama farmakokinetik davranışlarının istatistiksel olarak karşılaştırılmasıdır.</w:t>
      </w:r>
    </w:p>
    <w:p w14:paraId="645FE117"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Bu yaklaşım onlarca yıllık bilimsel deneyimin sonucunda geliştirilmiştir ve FDA, EMA, MHRA, PMDA ile birlikte dünyanın hemen bütün büyük düzenleyici otoriteleri tarafından benimsenmektedir. Dolayısıyla biyoeşdeğerlik sisteminin bilimsel temeli tartışmasızdır. Tartışılması gereken konu, sistemin hangi koşullarda yeterli olduğu ve hangi koşullarda ek güvence mekanizmalarına ihtiyaç duyulduğudur.</w:t>
      </w:r>
    </w:p>
    <w:p w14:paraId="4D4B1F5F" w14:textId="77777777" w:rsidR="00374B86" w:rsidRPr="00754EC9" w:rsidRDefault="00374B86" w:rsidP="00754EC9">
      <w:pPr>
        <w:spacing w:before="100" w:beforeAutospacing="1" w:after="100" w:afterAutospacing="1" w:line="240" w:lineRule="auto"/>
        <w:jc w:val="both"/>
        <w:outlineLvl w:val="1"/>
        <w:rPr>
          <w:rFonts w:cs="Times New Roman"/>
          <w:noProof/>
          <w:kern w:val="0"/>
          <w14:ligatures w14:val="none"/>
        </w:rPr>
      </w:pPr>
      <w:r>
        <w:rPr>
          <w:rFonts w:cs="Times New Roman"/>
          <w:b/>
          <w:noProof/>
          <w:kern w:val="0"/>
          <w:szCs w:val="36"/>
          <w14:ligatures w14:val="none"/>
        </w:rPr>
        <w:t>%80–125 Aralığı Gerçekten Ne Kadar Güvenlidir?</w:t>
      </w:r>
      <w:r>
        <w:rPr>
          <w:rFonts w:cs="Times New Roman"/>
          <w:b/>
          <w:kern w:val="0"/>
          <w:szCs w:val="36"/>
          <w14:ligatures w14:val="none"/>
        </w:rPr>
        <w:t xml:space="preserve"> </w:t>
      </w:r>
      <w:r>
        <w:rPr>
          <w:rFonts w:cs="Times New Roman"/>
          <w:noProof/>
          <w:kern w:val="0"/>
          <w14:ligatures w14:val="none"/>
        </w:rPr>
        <w:t>Biyoeşdeğerlik tartışmalarının merkezinde uzun yıllardır aynı soru bulunmaktadır: %80–125 aralığı bütün ilaçlar için gerçekten yeterli midir?</w:t>
      </w:r>
    </w:p>
    <w:p w14:paraId="55FF6E8E"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Genel yanıt evettir. Çoğu ilaç için bu sınırlar klinik açıdan anlamlı bir farklılık oluşturmaz. Çünkü bireyler arasındaki doğal farmakokinetik değişkenlik çoğu zaman bu aralıktan daha büyüktür. Aynı hastada farklı günlerde yapılan ölçümlerde bile emilim, mide boşalma hızı, barsak motilitesi, beslenme, karaciğer kan akımı ve metabolik farklılıklar nedeniyle belirgin değişkenlik görülebilmektedir. Bu nedenle biyoeşdeğerlik sınırları gerçek yaşam biyolojik değişkenliğini de dikkate alacak biçimde belirlenmiştir.</w:t>
      </w:r>
    </w:p>
    <w:p w14:paraId="43411EC5"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Bununla birlikte bu yaklaşımın tamamen kusursuz olduğunu söylemek de mümkün değildir. Özellikle dar terapötik indekse sahip ilaçlarda küçük farmakokinetik farklılıklar dahi ciddi klinik sonuçlar doğurabilmektedir. Bunun yanında teorik olarak dikkat çekici başka bir durum daha bulunmaktadır.</w:t>
      </w:r>
    </w:p>
    <w:p w14:paraId="34463599"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Varsayalım ki referans ürünün ortalama Cmax değeri 100 ng/mL olsun. Bir jenerik ürün biyoeşdeğerlik çalışmasında 80 ng/mL ile kabul edilirken, başka bir jenerik ürün 125 ng/mL ile kabul edilmiş olsun. Düzenleyici açıdan her iki ürün de referans ilaca biyoeşdeğer kabul edilir. Ancak bu iki jenerik ürün doğrudan karşılaştırıldığında aralarındaki fark yaklaşık %56'ya ulaşabilir. Klinik uygulamada bütün jenerik ürünlerin bu uç değerlerde bulunması beklenmez; buna rağmen bu olasılık uzun yıllardır farmakoloji literatüründe tartışılmaktadır.</w:t>
      </w:r>
    </w:p>
    <w:p w14:paraId="0482F3BF"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İşte bu nedenle bazı uzmanlar biyoeşdeğerlik çalışmalarının yalnızca referans ürünle değil, piyasadaki farklı jenerik ürünler arasında da değerlendirilmesini önermektedir. Bugün için böyle bir zorunluluk bulunmamakla birlikte özellikle dar terapötik indeksli ilaçlarda bu öneri giderek daha fazla destek bulmaktadır.</w:t>
      </w:r>
    </w:p>
    <w:p w14:paraId="2ECD8C9A" w14:textId="77777777" w:rsidR="00374B86" w:rsidRPr="00754EC9" w:rsidRDefault="00374B86" w:rsidP="008655B7">
      <w:pPr>
        <w:spacing w:before="100" w:beforeAutospacing="1" w:after="100" w:afterAutospacing="1" w:line="240" w:lineRule="auto"/>
        <w:jc w:val="both"/>
        <w:outlineLvl w:val="1"/>
        <w:rPr>
          <w:rFonts w:cs="Times New Roman"/>
          <w:noProof/>
          <w:kern w:val="0"/>
          <w14:ligatures w14:val="none"/>
        </w:rPr>
      </w:pPr>
      <w:r>
        <w:rPr>
          <w:rFonts w:cs="Times New Roman"/>
          <w:b/>
          <w:noProof/>
          <w:kern w:val="0"/>
          <w:szCs w:val="36"/>
          <w14:ligatures w14:val="none"/>
        </w:rPr>
        <w:t>Sağlıklı Gönüllüler Gerçek Hastaları Ne Ölçüde Temsil Eder?</w:t>
      </w:r>
      <w:r>
        <w:rPr>
          <w:rFonts w:cs="Times New Roman"/>
          <w:b/>
          <w:kern w:val="0"/>
          <w:szCs w:val="36"/>
          <w14:ligatures w14:val="none"/>
        </w:rPr>
        <w:t xml:space="preserve"> </w:t>
      </w:r>
      <w:r>
        <w:rPr>
          <w:rFonts w:cs="Times New Roman"/>
          <w:noProof/>
          <w:kern w:val="0"/>
          <w14:ligatures w14:val="none"/>
        </w:rPr>
        <w:t>Biyoeşdeğerlik çalışmalarının en önemli sınırlılıklarından biri, çalışmaların büyük bölümünün sağlıklı genç erişkin gönüllüler üzerinde yürütülmesidir. Bunun temel nedeni değişkenliği azaltarak istatistiksel gücü artırmaktır. Ancak ilacı gerçek yaşamda kullanan hastalar çoğu zaman bu popülasyondan oldukça farklıdır.</w:t>
      </w:r>
    </w:p>
    <w:p w14:paraId="1E97BBDA"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İleri yaşta bireylerde mide boşalma süresi uzayabilir, karaciğer metabolizması yavaşlayabilir ve böbrek fonksiyonları azalabilir. Çok sayıda ilaç kullanan hastalarda ilaç-ilaç etkileşimleri farmakokinetik profili değiştirebilir. Karaciğer veya böbrek yetmezliği bulunan hastalarda aynı biyoeşdeğer preparatlar farklı sistemik maruziyet oluşturabilir. Çocuklar, gebeler ve kritik hastalar ise biyoeşdeğerlik çalışmalarında neredeyse hiç temsil edilmeyen gruplardır.</w:t>
      </w:r>
    </w:p>
    <w:p w14:paraId="3E0E4DBF"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lastRenderedPageBreak/>
        <w:t>Bu durum biyoeşdeğerlik yaklaşımının yanlış olduğunu göstermez; ancak biyoeşdeğerlik çalışmasının klinik gerçekliğin tamamını temsil etmediğini ortaya koyar. Dolayısıyla biyoeşdeğerlik, kalite güvencesinin yalnızca ilk basamağıdır. Gerçek güvence, ruhsat sonrası farmakovijilans, seri kalite kontrolü, üretim standardının sürekliliği ve gerektiğinde yeniden doğrulama mekanizmaları ile sağlanabilir.</w:t>
      </w:r>
    </w:p>
    <w:p w14:paraId="45C97107" w14:textId="77777777" w:rsidR="00374B86" w:rsidRPr="00754EC9" w:rsidRDefault="00374B86" w:rsidP="008655B7">
      <w:pPr>
        <w:spacing w:before="100" w:beforeAutospacing="1" w:after="100" w:afterAutospacing="1" w:line="240" w:lineRule="auto"/>
        <w:jc w:val="both"/>
        <w:outlineLvl w:val="1"/>
        <w:rPr>
          <w:rFonts w:cs="Times New Roman"/>
          <w:noProof/>
          <w:kern w:val="0"/>
          <w14:ligatures w14:val="none"/>
        </w:rPr>
      </w:pPr>
      <w:r>
        <w:rPr>
          <w:rFonts w:cs="Times New Roman"/>
          <w:b/>
          <w:noProof/>
          <w:kern w:val="0"/>
          <w:szCs w:val="36"/>
          <w14:ligatures w14:val="none"/>
        </w:rPr>
        <w:t>Biyoeşdeğerlik Bir Kez Yapılır ve Sonsuza Kadar Geçerli Midir?</w:t>
      </w:r>
      <w:r>
        <w:rPr>
          <w:rFonts w:cs="Times New Roman"/>
          <w:b/>
          <w:kern w:val="0"/>
          <w:szCs w:val="36"/>
          <w14:ligatures w14:val="none"/>
        </w:rPr>
        <w:t xml:space="preserve"> </w:t>
      </w:r>
      <w:r>
        <w:rPr>
          <w:rFonts w:cs="Times New Roman"/>
          <w:noProof/>
          <w:kern w:val="0"/>
          <w14:ligatures w14:val="none"/>
        </w:rPr>
        <w:t>Bir biyoeşdeğerlik çalışması belirli bir tarihte üretilmiş belirli bir seri üzerinde gerçekleştirilmektedir. Ancak ilacın ticari yaşamı çoğu zaman onlarca yıl sürmektedir. Bu süre içerisinde yardımcı madde tedarikçisi değişebilir, granülasyon yöntemi güncellenebilir, tablet presleri yenilenebilir, üretim tesisi başka bir ülkeye taşınabilir veya üretim kapasitesi artırılabilir.</w:t>
      </w:r>
    </w:p>
    <w:p w14:paraId="5C01EECF"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Bu değişikliklerin tamamı farmasötik kalite açısından önemsiz değildir. Özellikle çözünme hızı, partikül büyüklüğü, kristal yapı, sıkıştırma kuvveti ve yardımcı madde kompozisyonundaki değişiklikler ilacın biyoyararlanımını etkileyebilir.</w:t>
      </w:r>
    </w:p>
    <w:p w14:paraId="51337029"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İlaç tarihinde bunun çok sayıda örneği bulunmaktadır. Aynı üreticiye ait aynı ticari isimli ürünlerde üretim prosesi değişikliğini takiben biyoyararlanımın anlamlı biçimde değiştiği birçok vaka yayımlanmıştır. Bu nedenle modern düzenleyici sistemler varyasyon yönetimine büyük önem vermektedir. Büyük üretim değişikliklerinde yeni çözünme çalışmaları, karşılaştırmalı kalite analizleri ve gerektiğinde yeni biyoeşdeğerlik çalışmaları talep edilmektedir.</w:t>
      </w:r>
    </w:p>
    <w:p w14:paraId="3D62C37D" w14:textId="77777777" w:rsidR="00FD608D" w:rsidRDefault="00374B86" w:rsidP="00FD608D">
      <w:pPr>
        <w:spacing w:before="100" w:beforeAutospacing="1" w:after="100" w:afterAutospacing="1" w:line="240" w:lineRule="auto"/>
        <w:jc w:val="both"/>
        <w:rPr>
          <w:rFonts w:cs="Times New Roman"/>
          <w:kern w:val="0"/>
          <w14:ligatures w14:val="none"/>
        </w:rPr>
      </w:pPr>
      <w:r>
        <w:rPr>
          <w:rFonts w:cs="Times New Roman"/>
          <w:noProof/>
          <w:kern w:val="0"/>
          <w14:ligatures w14:val="none"/>
        </w:rPr>
        <w:t>Buradan çıkarılması gereken sonuç açıktır. Biyoeşdeğerlik tek başına değişmez bir kalite sertifikası değildir. Biyoeşdeğerlik, üretim yaşam döngüsü boyunca korunması gereken dinamik bir kalite göstergesidir. Gerçek kalite güvencesi, yalnızca ruhsat dosyasında bulunan bir çalışma ile değil, ürün piyasada kaldığı sürece sürdürülen bilimsel doğrulama mekanizmaları ile sağlanabilir.</w:t>
      </w:r>
    </w:p>
    <w:p w14:paraId="10F27026" w14:textId="77777777" w:rsidR="00FD608D" w:rsidRPr="00FD608D" w:rsidRDefault="00FD608D" w:rsidP="00FD608D">
      <w:pPr>
        <w:spacing w:before="100" w:beforeAutospacing="1" w:after="100" w:afterAutospacing="1" w:line="240" w:lineRule="auto"/>
        <w:contextualSpacing/>
        <w:jc w:val="both"/>
        <w:rPr>
          <w:noProof/>
        </w:rPr>
      </w:pPr>
      <w:r>
        <w:rPr>
          <w:b/>
          <w:bCs/>
        </w:rPr>
        <w:t xml:space="preserve">Dissolüsyon ve Disintegrasyon Testleri Biyoeşdeğerliğin Yerini Tutabilir mi?  </w:t>
      </w:r>
      <w:r>
        <w:rPr>
          <w:noProof/>
        </w:rPr>
        <w:t xml:space="preserve">Jenerik ilaçların ruhsatlandırılması ve kalite değerlendirilmesi konusunda en sık karşılaşılan yanlış anlamalardan biri, dissolüsyon (çözünme) ve disintegrasyon (dağılma) testlerinin tek başına biyoeşdeğerliğin kanıtı olarak kabul edilebileceği düşüncesidir. Özellikle Türkiye'de sağlık profesyonelleri arasında zaman zaman dile getirilen bu görüş, farmasötik bilim açısından doğru değildir. Dissolüsyon ve disintegrasyon testleri kalite kontrolünün vazgeçilmez bileşenleri olmakla birlikte, insan vücudunda ilacın gerçek davranışını doğrudan göstermez. </w:t>
      </w:r>
    </w:p>
    <w:p w14:paraId="3FC51E32" w14:textId="77777777" w:rsidR="00FD608D" w:rsidRPr="00FD608D" w:rsidRDefault="00FD608D" w:rsidP="00FD608D">
      <w:pPr>
        <w:pStyle w:val="isselectedend"/>
        <w:contextualSpacing/>
        <w:jc w:val="both"/>
        <w:rPr>
          <w:noProof/>
          <w:lang w:val="tr-TR"/>
        </w:rPr>
      </w:pPr>
      <w:r>
        <w:rPr>
          <w:noProof/>
          <w:lang w:val="tr-TR"/>
        </w:rPr>
        <w:t xml:space="preserve">Disintegrasyon testi, tablet veya kapsülün belirli laboratuvar koşulları altında ne kadar sürede parçalandığını ölçer. Bu test yalnızca farmasötik dozaj şeklinin fiziksel bütünlüğü hakkında bilgi verir. Bir tabletin kısa sürede dağılması, etkin maddenin çözünerek emileceği veya biyoyararlanımının referans ürün ile aynı olacağı anlamına gelmez. Disintegrasyon, oral biyoyararlanım sürecinin yalnızca ilk basamağını temsil eder. </w:t>
      </w:r>
    </w:p>
    <w:p w14:paraId="08244D71" w14:textId="77777777" w:rsidR="00FD608D" w:rsidRPr="00FD608D" w:rsidRDefault="00FD608D" w:rsidP="00FD608D">
      <w:pPr>
        <w:pStyle w:val="isselectedend"/>
        <w:contextualSpacing/>
        <w:jc w:val="both"/>
        <w:rPr>
          <w:noProof/>
          <w:lang w:val="tr-TR"/>
        </w:rPr>
      </w:pPr>
      <w:r>
        <w:rPr>
          <w:noProof/>
          <w:lang w:val="tr-TR"/>
        </w:rPr>
        <w:t xml:space="preserve">Dissolüsyon testi ise etkin maddenin belirli bir çözünme ortamında ve standart koşullarda çözünme hızını ve çözünme miktarını değerlendirir. Günümüzde farmasötik geliştirme, formülasyon optimizasyonu, üretim sürecinin doğrulanması ve seri seriye kalite kontrolü açısından en önemli laboratuvar testlerinden biridir. Bununla birlikte dissolüsyon testi de bir in vitro değerlendirmedir </w:t>
      </w:r>
      <w:r>
        <w:rPr>
          <w:noProof/>
          <w:lang w:val="tr-TR"/>
        </w:rPr>
        <w:lastRenderedPageBreak/>
        <w:t xml:space="preserve">ve insan gastrointestinal sistemindeki fizyolojik koşulları tam olarak yansıtamaz. </w:t>
      </w:r>
      <w:r>
        <w:rPr>
          <w:rStyle w:val="Strong"/>
          <w:noProof/>
          <w:lang w:val="tr-TR"/>
        </w:rPr>
        <w:t xml:space="preserve">in vitro </w:t>
      </w:r>
      <w:r>
        <w:rPr>
          <w:noProof/>
          <w:lang w:val="tr-TR"/>
        </w:rPr>
        <w:t xml:space="preserve">değerlendirmedir ve insan gastrointestinal sistemindeki fizyolojik koşulları tam olarak yansıtamaz. </w:t>
      </w:r>
    </w:p>
    <w:p w14:paraId="73BBA364" w14:textId="77777777" w:rsidR="00FD608D" w:rsidRPr="00FD608D" w:rsidRDefault="00FD608D" w:rsidP="00FD608D">
      <w:pPr>
        <w:pStyle w:val="isselectedend"/>
        <w:contextualSpacing/>
        <w:jc w:val="both"/>
        <w:rPr>
          <w:noProof/>
          <w:lang w:val="tr-TR"/>
        </w:rPr>
      </w:pPr>
      <w:r>
        <w:rPr>
          <w:noProof/>
          <w:lang w:val="tr-TR"/>
        </w:rPr>
        <w:t xml:space="preserve">Oral uygulanan bir ilacın klinik etkinliğe ulaşması çok daha karmaşık bir süreçtir. Tabletin dağılması, etkin maddenin çözünmesi, gastrointestinal sıvılarda stabil kalması, barsak mukozasını geçmesi, portal dolaşıma ulaşması, ilk geçiş metabolizmasına uğraması ve sistemik dolaşıma yeterli miktarda geçmesi birbirini izleyen basamaklardır. Bu süreçlerin herhangi birindeki farklılık biyoyararlanımı etkileyebilir. Dolayısıyla laboratuvarda uygun dissolüsyon profiline sahip bir ürünün mutlaka biyoeşdeğer olacağını söylemek bilimsel olarak mümkün değildir.Bu nedenle FDA, EMA, MHRA ve Dünya Sağlık Örgütü dissolüsyon testlerini biyoeşdeğerlik çalışmalarının alternatifi olarak değil, belirli koşullarda biyoeşdeğerlik değerlendirmesini destekleyen önemli bir araç olarak kabul etmektedir. Sadece BCS temelli biyomuafiyet (biowaiver) kriterlerini eksiksiz karşılayan ilaçlarda, uygun dissolüsyon verileri in vivo biyoeşdeğerlik çalışmasının yerine kullanılabilir. Bunun için ilacın BCS sınıfı, çözünürlüğü, permeabilitesi, yardımcı madde kompozisyonu ve farklı pH ortamlarında benzer çözünme profili birlikte değerlendirilmelidir. </w:t>
      </w:r>
    </w:p>
    <w:p w14:paraId="00782E24" w14:textId="77777777" w:rsidR="00FD608D" w:rsidRPr="00FD608D" w:rsidRDefault="00FD608D" w:rsidP="00FD608D">
      <w:pPr>
        <w:pStyle w:val="isselectedend"/>
        <w:contextualSpacing/>
        <w:jc w:val="both"/>
        <w:rPr>
          <w:noProof/>
          <w:lang w:val="tr-TR"/>
        </w:rPr>
      </w:pPr>
      <w:r>
        <w:rPr>
          <w:noProof/>
          <w:lang w:val="tr-TR"/>
        </w:rPr>
        <w:t xml:space="preserve">Bu nedenle FDA, EMA, MHRA ve Dünya Sağlık Örgütü dissolüsyon testlerini biyoeşdeğerlik çalışmalarının alternatifi olarak değil, belirli koşullarda biyoeşdeğerlik değerlendirmesini destekleyen önemli bir araç olarak kabul etmektedir. Sadece </w:t>
      </w:r>
      <w:r>
        <w:rPr>
          <w:rStyle w:val="Strong"/>
          <w:noProof/>
          <w:lang w:val="tr-TR"/>
        </w:rPr>
        <w:t xml:space="preserve">BCS temelli biyomuafiyet (biowaiver) </w:t>
      </w:r>
      <w:r>
        <w:rPr>
          <w:noProof/>
          <w:lang w:val="tr-TR"/>
        </w:rPr>
        <w:t xml:space="preserve">kriterlerini eksiksiz karşılayan ilaçlarda, uygun dissolüsyon verileri in vivo biyoeşdeğerlik çalışmasının yerine kullanılabilir. Bunun için ilacın BCS sınıfı, çözünürlüğü, permeabilitesi, yardımcı madde kompozisyonu ve farklı pH ortamlarında benzer çözünme profili birlikte değerlendirilmelidir. </w:t>
      </w:r>
    </w:p>
    <w:p w14:paraId="1D8EC378" w14:textId="77777777" w:rsidR="00FD608D" w:rsidRPr="00FD608D" w:rsidRDefault="00FD608D" w:rsidP="00FD608D">
      <w:pPr>
        <w:pStyle w:val="isselectedend"/>
        <w:contextualSpacing/>
        <w:jc w:val="both"/>
        <w:rPr>
          <w:noProof/>
          <w:lang w:val="tr-TR"/>
        </w:rPr>
      </w:pPr>
      <w:r>
        <w:rPr>
          <w:noProof/>
          <w:lang w:val="tr-TR"/>
        </w:rPr>
        <w:t xml:space="preserve">Bu noktada in vitro–in vivo korelasyon (IVIVC) kavramı büyük önem taşımaktadır. IVIVC, laboratuvar ortamında elde edilen dissolüsyon verileri ile insan vücudunda gözlenen farmakokinetik davranış arasındaki ilişkiyi tanımlar. Güçlü bir IVIVC kurulabilen ilaçlarda dissolüsyon çalışmaları klinik performans hakkında önemli bilgiler sağlayabilir. Ancak birçok etkin madde için böyle güçlü bir ilişki bulunmamaktadır. Bu nedenle dissolüsyon sonuçlarının doğrudan terapötik eşdeğerlik göstergesi olarak yorumlanması doğru değildir. </w:t>
      </w:r>
    </w:p>
    <w:p w14:paraId="08ED8267" w14:textId="77777777" w:rsidR="00FD608D" w:rsidRPr="00FD608D" w:rsidRDefault="00FD608D" w:rsidP="00FD608D">
      <w:pPr>
        <w:pStyle w:val="isselectedend"/>
        <w:contextualSpacing/>
        <w:jc w:val="both"/>
        <w:rPr>
          <w:noProof/>
          <w:lang w:val="tr-TR"/>
        </w:rPr>
      </w:pPr>
      <w:r>
        <w:rPr>
          <w:noProof/>
          <w:lang w:val="tr-TR"/>
        </w:rPr>
        <w:t xml:space="preserve">Dolayısıyla doğru soru, dissolüsyon testi biyoeşdeğerliğin yerine geçer mi değil, hangi bilimsel koşullar altında dissolüsyon verileri biyoeşdeğerlik çalışmasının yerine kullanılabilir  olmalıdır. </w:t>
      </w:r>
    </w:p>
    <w:p w14:paraId="1AB0640D" w14:textId="77777777" w:rsidR="00FD608D" w:rsidRDefault="00FD608D" w:rsidP="00FD608D">
      <w:pPr>
        <w:pStyle w:val="NormalWeb"/>
        <w:contextualSpacing/>
        <w:jc w:val="both"/>
        <w:rPr>
          <w:noProof/>
          <w:lang w:val="tr-TR"/>
        </w:rPr>
      </w:pPr>
      <w:r>
        <w:rPr>
          <w:noProof/>
          <w:lang w:val="tr-TR"/>
        </w:rPr>
        <w:t>Sonuç olarak dissolüsyon ve disintegrasyon testleri farmasötik kalite sisteminin vazgeçilmez unsurlarıdır; ancak bunlar biyoeşdeğerliğin eşdeğeri değildir. Modern düzenleyici bilim, bu testleri biyoeşdeğerlik çalışmalarının alternatifi olarak değil, yaşam döngüsü boyunca kalite güvencesini destekleyen bilimsel araçlar olarak değerlendirmektedir. Kalite, yalnızca laboratuvar testlerinden değil; formülasyon geliştirme, biyoeşdeğerlik, GMP, farmakovijilans ve piyasa sonrası sürekli izlemden oluşan bütüncül bir sistemin ürünüdür.</w:t>
      </w:r>
    </w:p>
    <w:p w14:paraId="7BFB1282" w14:textId="77777777" w:rsidR="007C28F9" w:rsidRPr="007C28F9" w:rsidRDefault="007C28F9" w:rsidP="007C28F9">
      <w:pPr>
        <w:pStyle w:val="NormalWeb"/>
        <w:contextualSpacing/>
        <w:rPr>
          <w:i/>
          <w:iCs/>
          <w:noProof/>
          <w:color w:val="4C94D8" w:themeColor="text2" w:themeTint="80"/>
          <w:lang w:val="tr-TR"/>
        </w:rPr>
      </w:pPr>
      <w:r>
        <w:rPr>
          <w:i/>
          <w:iCs/>
          <w:noProof/>
          <w:color w:val="4C94D8" w:themeColor="text2" w:themeTint="80"/>
          <w:lang w:val="tr-TR"/>
        </w:rPr>
        <w:t>Türkiyede biyoeşdeğerlik için daha fazla bilgi içn: https://klinikfarmakoloji.com/aci-ilac/bioequivalence-turkiye</w:t>
      </w:r>
    </w:p>
    <w:p w14:paraId="6A020E3B" w14:textId="77777777" w:rsidR="00374B86" w:rsidRPr="00754EC9" w:rsidRDefault="00374B86" w:rsidP="00754EC9">
      <w:pPr>
        <w:spacing w:before="100" w:beforeAutospacing="1" w:after="100" w:afterAutospacing="1" w:line="240" w:lineRule="auto"/>
        <w:jc w:val="both"/>
        <w:outlineLvl w:val="0"/>
        <w:rPr>
          <w:rFonts w:cs="Times New Roman"/>
          <w:b/>
          <w:bCs/>
          <w:noProof/>
          <w:kern w:val="36"/>
          <w:sz w:val="48"/>
          <w:szCs w:val="48"/>
          <w14:ligatures w14:val="none"/>
        </w:rPr>
      </w:pPr>
      <w:r>
        <w:rPr>
          <w:rFonts w:cs="Times New Roman"/>
          <w:b/>
          <w:bCs/>
          <w:noProof/>
          <w:kern w:val="36"/>
          <w:sz w:val="32"/>
          <w:szCs w:val="48"/>
          <w14:ligatures w14:val="none"/>
        </w:rPr>
        <w:t xml:space="preserve">5. Biyofarmasötik Sınıflandırma Sistemi (BCS) ve Biyomuafiyet: </w:t>
      </w:r>
    </w:p>
    <w:p w14:paraId="6BE8DF66"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Jenerik ilaç ruhsatlandırmasında son yirmi yılın en önemli gelişmelerinden biri, </w:t>
      </w:r>
      <w:r>
        <w:rPr>
          <w:rFonts w:cs="Times New Roman"/>
          <w:bCs/>
          <w:noProof/>
          <w:kern w:val="0"/>
          <w14:ligatures w14:val="none"/>
        </w:rPr>
        <w:t>Biyofarmasötik Sınıflandırma Sistemi (Biopharmaceutics Classification System, BCS)</w:t>
      </w:r>
      <w:r>
        <w:rPr>
          <w:rFonts w:cs="Times New Roman"/>
          <w:noProof/>
          <w:kern w:val="0"/>
          <w14:ligatures w14:val="none"/>
        </w:rPr>
        <w:t xml:space="preserve"> ve buna dayalı biyomuafiyet (biowaiver) uygulamalarının geliştirilmesidir. İlk bakışta biyoeşdeğerlik çalışmasının yerine laboratuvar ortamında yapılan çözünme testlerinin kullanılmasına izin veren bu yaklaşım, ilaç geliştirme süresini kısaltmakta, maliyetleri azaltmakta ve gereksiz insan </w:t>
      </w:r>
      <w:r>
        <w:rPr>
          <w:rFonts w:cs="Times New Roman"/>
          <w:noProof/>
          <w:kern w:val="0"/>
          <w14:ligatures w14:val="none"/>
        </w:rPr>
        <w:lastRenderedPageBreak/>
        <w:t xml:space="preserve">araştırmalarının önüne geçmektedir. Ancak aynı zamanda önemli bir soruyu da beraberinde getirmektedir: </w:t>
      </w:r>
      <w:r>
        <w:rPr>
          <w:rFonts w:cs="Times New Roman"/>
          <w:bCs/>
          <w:noProof/>
          <w:kern w:val="0"/>
          <w14:ligatures w14:val="none"/>
        </w:rPr>
        <w:t>Bir ilacın biyoeşdeğer olduğunu göstermeden biyoeşdeğer kabul edilmesi gerçekten ne kadar güvenlidir?</w:t>
      </w:r>
    </w:p>
    <w:p w14:paraId="5FCF3075"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Bu soruya verilecek yanıt, BCS sisteminin doğru anlaşılmasına bağlıdır. BCS, ilaçları çözünürlük ve barsak geçirgenliği özelliklerine göre dört temel sınıfa ayırmaktadır.</w:t>
      </w:r>
    </w:p>
    <w:p w14:paraId="2A82E1A1"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bCs/>
          <w:noProof/>
          <w:kern w:val="0"/>
          <w14:ligatures w14:val="none"/>
        </w:rPr>
        <w:t>Sınıf I</w:t>
      </w:r>
      <w:r>
        <w:rPr>
          <w:rFonts w:cs="Times New Roman"/>
          <w:noProof/>
          <w:kern w:val="0"/>
          <w14:ligatures w14:val="none"/>
        </w:rPr>
        <w:t xml:space="preserve"> ilaçlar yüksek çözünürlüğe ve yüksek geçirgenliğe sahiptir. Emilimleri büyük ölçüde çözünme hızından etkilenmez. Parasetamol, metoprolol ve propranolol bu grubun klasik örnekleridir.</w:t>
      </w:r>
    </w:p>
    <w:p w14:paraId="7A16B141"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bCs/>
          <w:noProof/>
          <w:kern w:val="0"/>
          <w14:ligatures w14:val="none"/>
        </w:rPr>
        <w:t>Sınıf II</w:t>
      </w:r>
      <w:r>
        <w:rPr>
          <w:rFonts w:cs="Times New Roman"/>
          <w:noProof/>
          <w:kern w:val="0"/>
          <w14:ligatures w14:val="none"/>
        </w:rPr>
        <w:t xml:space="preserve"> ilaçlarda çözünürlük düşüktür ancak geçirgenlik yüksektir. Emilim çözünme hızına bağımlıdır. Karbamazepin, ketoprofen ve diklofenak bu gruba örnek gösterilebilir.</w:t>
      </w:r>
    </w:p>
    <w:p w14:paraId="539B0DA9"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bCs/>
          <w:noProof/>
          <w:kern w:val="0"/>
          <w14:ligatures w14:val="none"/>
        </w:rPr>
        <w:t>Sınıf III</w:t>
      </w:r>
      <w:r>
        <w:rPr>
          <w:rFonts w:cs="Times New Roman"/>
          <w:noProof/>
          <w:kern w:val="0"/>
          <w14:ligatures w14:val="none"/>
        </w:rPr>
        <w:t xml:space="preserve"> ilaçlarda çözünürlük yüksek olmasına rağmen barsak geçirgenliği düşüktür. Emilim çoğu zaman membran transport mekanizmalarına bağlıdır. Simetidin ve atenolol bu grubun örneklerindendir.</w:t>
      </w:r>
    </w:p>
    <w:p w14:paraId="7E6800C1"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bCs/>
          <w:noProof/>
          <w:kern w:val="0"/>
          <w14:ligatures w14:val="none"/>
        </w:rPr>
        <w:t>Sınıf IV</w:t>
      </w:r>
      <w:r>
        <w:rPr>
          <w:rFonts w:cs="Times New Roman"/>
          <w:noProof/>
          <w:kern w:val="0"/>
          <w14:ligatures w14:val="none"/>
        </w:rPr>
        <w:t xml:space="preserve"> ilaçlarda ise hem çözünürlük hem de geçirgenlik düşüktür. Bunlar biyoyararlanımı en problemli ilaçlardır ve biyomuafiyet uygulaması açısından uygun kabul edilmezler.</w:t>
      </w:r>
    </w:p>
    <w:p w14:paraId="76F1EFAF"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Bugün FDA, EMA ve ICH M9 Kılavuzu belirli koşullar altında yalnızca BCS Sınıf I ve bazı durumlarda Sınıf III ilaçlar için biyoeşdeğerlik çalışması yapılmaksızın ruhsatlandırmaya izin vermektedir. Bunun temel gerekçesi şudur: Eğer etkin madde çok hızlı çözünüyorsa, barsaktan kolay emiliyorsa ve test preparatı referans ürünle aynı çözünme profilini gösteriyorsa, insan üzerinde tekrar biyoeşdeğerlik çalışması yapmanın bilimsel katkısı sınırlı olabilir.</w:t>
      </w:r>
    </w:p>
    <w:p w14:paraId="3A850B47"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Bu yaklaşım ilk bakışta son derece rasyonel görünmektedir. Gerçekten de gereksiz insan araştırmalarının önlenmesi etik açıdan önemlidir. Ancak burada kritik nokta, biyomuafiyetin istisna olması gerekirken zaman zaman genel uygulamaya dönüşebilmesidir.</w:t>
      </w:r>
    </w:p>
    <w:p w14:paraId="1D0E82A1"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Bir ilacın yalnızca etkin maddesi değil, yardımcı maddeleri, granülasyon yöntemi, partikül büyüklüğü, kristal formu ve üretim teknolojisi de çözünme profilini değiştirebilir. Özellikle farklı üretim tesislerinde aynı formülasyonun farklı çözünme davranışı gösterebildiği çok sayıda çalışma ile ortaya konmuştur. Dolayısıyla biyomuafiyet hiçbir zaman "biyoeşdeğerlik gereksizdir" anlamına gelmemektedir. Tam tersine, biyomuafiyet ancak son derece sıkı farmasötik kalite kriterleri karşılandığında uygulanabilecek bilimsel bir istisnadır.</w:t>
      </w:r>
    </w:p>
    <w:p w14:paraId="50B61A2D"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Son yıllarda ICH M9 Kılavuzu biyomuafiyet kriterlerini önemli ölçüde sıkılaştırmıştır. Yardımcı maddelerin gastrointestinal motiliteyi, permeabiliteyi veya çözünmeyi değiştirmemesi; çözünme profillerinin belirli pH aralıklarında benzerlik göstermesi; üretim prosesinin farmasötik davranışı değiştirmemesi beklenmektedir. Özellikle çok bileşenli sabit doz kombinasyonlarında biyomuafiyet uygulanması çok daha karmaşık hale gelmiştir. Çünkü kombinasyondaki her etkin maddenin aynı kriterleri sağlaması gerekmektedir.</w:t>
      </w:r>
    </w:p>
    <w:p w14:paraId="75171952" w14:textId="77777777" w:rsidR="001514E2"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lastRenderedPageBreak/>
        <w:t xml:space="preserve">Burada üzerinde özellikle durulması gereken nokta şudur: </w:t>
      </w:r>
      <w:r>
        <w:rPr>
          <w:rFonts w:cs="Times New Roman"/>
          <w:bCs/>
          <w:noProof/>
          <w:kern w:val="0"/>
          <w14:ligatures w14:val="none"/>
        </w:rPr>
        <w:t>BCS sistemi biyoeşdeğerlik çalışmalarının alternatifi değil, bilimsel olarak haklı gösterilebildiği sınırlı durumlarda kullanılan bir kolaylaştırıcı mekanizmadır.</w:t>
      </w:r>
      <w:r>
        <w:rPr>
          <w:rFonts w:cs="Times New Roman"/>
          <w:noProof/>
          <w:kern w:val="0"/>
          <w14:ligatures w14:val="none"/>
        </w:rPr>
        <w:t xml:space="preserve"> BCS yaklaşımının amacı kalite standartlarını düşürmek değil, bilimsel olarak gereksiz insan çalışmalarını azaltmaktır. Bu temel ilkenin gözden kaçırılması, biyomuafiyet kavramının yanlış kullanılmasına yol açabilir.</w:t>
      </w:r>
    </w:p>
    <w:p w14:paraId="12334AFD" w14:textId="77777777" w:rsidR="00374B86" w:rsidRPr="00754EC9" w:rsidRDefault="00374B86" w:rsidP="00754EC9">
      <w:pPr>
        <w:spacing w:before="100" w:beforeAutospacing="1" w:after="100" w:afterAutospacing="1" w:line="240" w:lineRule="auto"/>
        <w:jc w:val="both"/>
        <w:outlineLvl w:val="0"/>
        <w:rPr>
          <w:rFonts w:cs="Times New Roman"/>
          <w:b/>
          <w:bCs/>
          <w:noProof/>
          <w:kern w:val="36"/>
          <w:sz w:val="48"/>
          <w:szCs w:val="48"/>
          <w14:ligatures w14:val="none"/>
        </w:rPr>
      </w:pPr>
      <w:r>
        <w:rPr>
          <w:rFonts w:cs="Times New Roman"/>
          <w:b/>
          <w:bCs/>
          <w:noProof/>
          <w:kern w:val="36"/>
          <w:sz w:val="32"/>
          <w:szCs w:val="48"/>
          <w14:ligatures w14:val="none"/>
        </w:rPr>
        <w:t>6. Kalite Güvencesi Gerçekten Nasıl Sağlanır?</w:t>
      </w:r>
    </w:p>
    <w:p w14:paraId="54D08A79"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İlaç kalitesi çoğu zaman yalnızca biyoeşdeğerlik çalışması ile ilişkilendirilmektedir. Oysa biyoeşdeğerlik kalite zincirinin yalnızca bir halkasını oluşturmaktadır. Gerçek kalite güvencesi üretim öncesinden başlayıp ilacın piyasadan çekilmesine kadar devam eden çok katmanlı bir sistemdir.</w:t>
      </w:r>
    </w:p>
    <w:p w14:paraId="5F5D377F"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Bu sistemin ilk basamağı etkin madde kalitesidir. Kullanılan aktif farmasötik maddenin saflığı, kristal yapısı, partikül büyüklüğü, polimorfik özellikleri ve üretim yöntemi ürünün nihai kalitesini doğrudan etkiler. Özellikle günümüzde dünya etkin madde üretiminin büyük bölümünün Çin ve Hindistan'da yoğunlaşmış olması, küresel kalite denetiminin önemini daha da artırmıştır. Aynı etkin maddenin farklı üreticilerden sağlanması, teorik olarak farklı safsızlık profillerine ve farklı çözünme davranışlarına yol açabilir.</w:t>
      </w:r>
    </w:p>
    <w:p w14:paraId="1626E06D"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İkinci basamak farmasötik formülasyondur. Etkin madde aynı olsa bile kullanılan yardımcı maddeler ürünün davranışını değiştirebilir. Laktoz, mannitol, mikrokristalin selüloz, krospovidon, sodyum nişasta glikolat, magnezyum stearat ve benzeri yardımcı maddeler yalnızca tableti oluşturan inert bileşenler değildir. Tablet sertliği, parçalanma süresi, çözünme hızı ve dolayısıyla biyoyararlanım üzerinde belirleyici rol oynayabilirler. İlaç tarihinde yardımcı madde değişikliğine bağlı biyoyararlanım krizlerinin yaşanmış olması bu nedenle şaşırtıcı değildir.</w:t>
      </w:r>
    </w:p>
    <w:p w14:paraId="6C7C6E8A"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Üçüncü basamak üretim prosesidir. Aynı formülasyon farklı granülasyon teknikleri, farklı kurutma sıcaklıkları, farklı pres kuvvetleri veya farklı film kaplama teknolojileri kullanılarak üretilebilir. Kimyasal kompozisyon değişmemiş olsa bile farmasötik davranış değişebilir. İmalatta çalışan personelin eğitimi ve liyakati de üretimi etkileyebilir. Bunun bir örneği Türkiyede de görüldü, tablet makinasından sorumlu bir prsolen fazla prim almak için makinadaki kaydırıcı madde miktarını artırarak fazla tblet başmış ama tabletler kaydırıcı ile kaplandığından vücutta absorbe olmamıştır. Günümüzde düzenleyici otoritelerin varyasyon yönetimine bu kadar önem vermesinin temel nedeni budur.</w:t>
      </w:r>
    </w:p>
    <w:p w14:paraId="7CA9A621"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Dördüncü basamak biyoeşdeğerlik doğrulamasıdır. Ancak biyoeşdeğerlik çalışması da kalite sürecinin sonu değildir. Çünkü çalışma yalnızca belirli bir tarihte üretilmiş belirli seriler üzerinde yapılmaktadır. Ticari üretim yıllarca devam ettiği için kalite güvencesinin de aynı süre boyunca devam etmesi gerekir.</w:t>
      </w:r>
    </w:p>
    <w:p w14:paraId="135745E3"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Son basamak ise piyasa sonrası kalite izlemi ve farmakovijilanstır. Gerçek anlamda güçlü bir düzenleyici sistem, ruhsat verdikten sonra kontrolu bırakmaz. Tam tersine kalite sorunlarının önemli bölümü ticari üretim başladıktan sonra ortaya çıkar. Bu nedenle seri analizleri, çözünme testleri, GMP yeniden denetimleri, geri çekme mekanizmaları ve advers olay bildirimleri kalite güvencesinin ayrılmaz parçalarıdır ve kontrollar kesintisiz devam etmelidir.</w:t>
      </w:r>
    </w:p>
    <w:p w14:paraId="1620DFB9"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lastRenderedPageBreak/>
        <w:t>Dolayısıyla ilaç kalitesi tek bir biyoeşdeğerlik çalışmasının sonucu değildir. Kalite, yaşam döngüsü boyunca sürekli doğrulanması gereken dinamik bir süreçtir. Bir düzenleyici sistemin gerçek gücü de tam burada ortaya çıkar. Ruhsat vermek nispeten kolaydır; asıl güç, ruhsat verdikten sonra aynı kalite standardını yıllarca sürdürebilmektir.</w:t>
      </w:r>
    </w:p>
    <w:p w14:paraId="06336FE9" w14:textId="77777777" w:rsidR="00374B86" w:rsidRPr="00754EC9" w:rsidRDefault="00374B86" w:rsidP="00754EC9">
      <w:pPr>
        <w:spacing w:before="100" w:beforeAutospacing="1" w:after="100" w:afterAutospacing="1" w:line="240" w:lineRule="auto"/>
        <w:jc w:val="both"/>
        <w:outlineLvl w:val="0"/>
        <w:rPr>
          <w:rFonts w:cs="Times New Roman"/>
          <w:b/>
          <w:bCs/>
          <w:noProof/>
          <w:kern w:val="36"/>
          <w:sz w:val="48"/>
          <w:szCs w:val="48"/>
          <w14:ligatures w14:val="none"/>
        </w:rPr>
      </w:pPr>
      <w:r>
        <w:rPr>
          <w:rFonts w:cs="Times New Roman"/>
          <w:b/>
          <w:bCs/>
          <w:noProof/>
          <w:kern w:val="36"/>
          <w:sz w:val="32"/>
          <w:szCs w:val="48"/>
          <w14:ligatures w14:val="none"/>
        </w:rPr>
        <w:t>7. İyi Üretim Uygulamaları (GMP):</w:t>
      </w:r>
    </w:p>
    <w:p w14:paraId="7E58FDDB"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İlaç sektöründe en sık karşılaşılan yanlış inanışlardan biri, </w:t>
      </w:r>
      <w:r>
        <w:rPr>
          <w:rFonts w:cs="Times New Roman"/>
          <w:bCs/>
          <w:noProof/>
          <w:kern w:val="0"/>
          <w14:ligatures w14:val="none"/>
        </w:rPr>
        <w:t>GMP (Good Manufacturing Practices-İyi Üretim Uygulamaları) sertifikasına sahip bir üretim tesisinde üretilen bütün ilaçların otomatik olarak aynı kalitede olduğu</w:t>
      </w:r>
      <w:r>
        <w:rPr>
          <w:rFonts w:cs="Times New Roman"/>
          <w:noProof/>
          <w:kern w:val="0"/>
          <w14:ligatures w14:val="none"/>
        </w:rPr>
        <w:t xml:space="preserve"> düşüncesidir. Bu görüş ilk bakışta makul görünmekle birlikte bilimsel açıdan eksiktir. GMP son derece gerekli bir kalite sistemidir; ancak tek başına ilacın biyoeşdeğer olduğunu, aynı klinik etkiyi göstereceğini veya üretim yaşam döngüsü boyunca aynı kaliteyi koruyacağını garanti etmez.</w:t>
      </w:r>
    </w:p>
    <w:p w14:paraId="370FADF3"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GMP'nin temel amacı, ilacın önceden tanımlanmış kalite standartlarına uygun olarak sürekli ve tekrarlanabilir şekilde üretilmesini sağlamaktır. Bu sistem; personel eğitimi, tesis tasarımı, çevresel koşullar, hammadde kabul kriterleri, üretim validasyonu, ekipman kalifikasyonu, temizlik prosedürleri, dokümantasyon, kalite kontrol laboratuvarları ve izlenebilirlik gibi onlarca farklı bileşenden oluşmaktadır. GMP bulunmayan bir ilaç üretim sistemi düşünülemez ama GMP'nin garanti ettiği şey </w:t>
      </w:r>
      <w:r>
        <w:rPr>
          <w:rFonts w:cs="Times New Roman"/>
          <w:bCs/>
          <w:noProof/>
          <w:kern w:val="0"/>
          <w14:ligatures w14:val="none"/>
        </w:rPr>
        <w:t>üretim sürecidir</w:t>
      </w:r>
      <w:r>
        <w:rPr>
          <w:rFonts w:cs="Times New Roman"/>
          <w:noProof/>
          <w:kern w:val="0"/>
          <w14:ligatures w14:val="none"/>
        </w:rPr>
        <w:t xml:space="preserve">; </w:t>
      </w:r>
      <w:r>
        <w:rPr>
          <w:rFonts w:cs="Times New Roman"/>
          <w:bCs/>
          <w:noProof/>
          <w:kern w:val="0"/>
          <w14:ligatures w14:val="none"/>
        </w:rPr>
        <w:t>klinik performans değildir.</w:t>
      </w:r>
    </w:p>
    <w:p w14:paraId="6F9112A0"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Bir GMP denetçisi tabletin içerisinde gerçekten 500 mg parasetamol bulunduğunu doğrulayabilir. Tabletlerin aynı sertlikte üretildiğini, safsızlık sınırlarının uygun olduğunu, mikrobiyolojik kontaminasyon bulunmadığını ve üretim kayıtlarının eksiksiz tutulduğunu gösterebilir. Fakat bu denetim, o tabletin insan vücudunda referans preparat ile aynı hızda çözüneceğini, aynı miktarda emileceğini veya aynı plazma konsantrasyonunuluşturacağını kanıtlamaz. Başka bir ifadeyle GMP ile biyoeşdeğerlik birbirinin alternatifi değil, birbirini tamamlayan iki farklı kalite mekanizmasıdır.</w:t>
      </w:r>
    </w:p>
    <w:p w14:paraId="2B846BAD"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Bu ayrım özellikle sabit doz kombinasyon ilaçlarında daha belirgin hale gelmektedir. GMP denetimi kombinasyon tabletinde örneğin 550 mg naproksen sodyum ve 30 mg kodein fosfat bulunduğunu doğrulayabilir. Ancak kodeinin mide boşalmasını geciktirmesi nedeniyle naproksen emiliminin değişip değişmediğini GMP denetimi gösteremez. Bu artık üretim kalitesinin değil, klinik farmakolojinin konusudur. Dolayısıyla son yıllarda zaman zaman dile getirilen "GMP varsa b iyoeşdeğerliğe gerek yoktur" yaklaşımının bilimsel temeli bulunmamaktadır.</w:t>
      </w:r>
    </w:p>
    <w:p w14:paraId="1223A6BD" w14:textId="77777777" w:rsidR="00C317BD" w:rsidRDefault="00374B86" w:rsidP="00C317BD">
      <w:pPr>
        <w:pStyle w:val="NormalWeb"/>
      </w:pPr>
      <w:r>
        <w:rPr>
          <w:b/>
          <w:noProof/>
          <w:szCs w:val="36"/>
          <w:lang w:val="tr-TR"/>
        </w:rPr>
        <w:t>GMP'nin Tarihsel Gelişimi</w:t>
      </w:r>
      <w:r>
        <w:rPr>
          <w:b/>
          <w:noProof/>
          <w:szCs w:val="36"/>
        </w:rPr>
        <w:t>:</w:t>
      </w:r>
      <w:r>
        <w:rPr>
          <w:b/>
          <w:noProof/>
          <w:sz w:val="36"/>
          <w:szCs w:val="36"/>
        </w:rPr>
        <w:t xml:space="preserve"> </w:t>
      </w:r>
      <w:r>
        <w:rPr>
          <w:noProof/>
          <w:lang w:val="tr-TR"/>
        </w:rPr>
        <w:t>Modern GMP anlayışı, ilaç tarihinde yaşanan ağır felaketlerin ardından ortaya çıkmıştır.</w:t>
      </w:r>
      <w:r>
        <w:rPr>
          <w:b/>
          <w:noProof/>
          <w:sz w:val="36"/>
          <w:szCs w:val="36"/>
        </w:rPr>
        <w:t xml:space="preserve"> </w:t>
      </w:r>
      <w:r>
        <w:rPr>
          <w:noProof/>
          <w:lang w:val="tr-TR"/>
        </w:rPr>
        <w:t>1937 yılında Amerika Birleşik Devletleri'nde dietilen glikol ile hazırlanan sülfanilamid eliksiri yüzden fazla kişinin ölümüne yol açmış, bunun ardından 1938 Federal Food, Drug and Cosmetic Act yürürlüğe girmiştir.</w:t>
      </w:r>
      <w:r>
        <w:rPr>
          <w:b/>
          <w:noProof/>
          <w:sz w:val="36"/>
          <w:szCs w:val="36"/>
        </w:rPr>
        <w:t xml:space="preserve">  </w:t>
      </w:r>
      <w:r>
        <w:rPr>
          <w:noProof/>
          <w:lang w:val="tr-TR"/>
        </w:rPr>
        <w:t>1960'lı yıllarda yaşanan talidomid felaketi yalnızca klinik araştırmaları değil, üretim standartlarını da kökten değiştirmiştir.</w:t>
      </w:r>
      <w:r>
        <w:rPr>
          <w:noProof/>
        </w:rPr>
        <w:t xml:space="preserve"> Buna rağmen benzer olaylar devam etmiştir. </w:t>
      </w:r>
    </w:p>
    <w:p w14:paraId="7CC060CC" w14:textId="77777777" w:rsidR="00C317BD" w:rsidRPr="00C317BD" w:rsidRDefault="00C317BD" w:rsidP="00C317BD">
      <w:pPr>
        <w:pStyle w:val="NormalWeb"/>
      </w:pPr>
      <w:r>
        <w:t xml:space="preserve">En dikkat çekici olaylardan biri Panama'da yaşandı. 2006 yılında devlet tarafından üretilen öksürük şurupları ve diğer sıvı ilaçlarda kullanılan "gliserin", aslında </w:t>
      </w:r>
      <w:r>
        <w:rPr>
          <w:rStyle w:val="Strong"/>
        </w:rPr>
        <w:t>dietilen glikol</w:t>
      </w:r>
      <w:r>
        <w:t xml:space="preserve"> içeren sahte bir hammaddeden hazırlanmıştı. Sonuçta yüzlerce kişi zehirlendi ve en az 100'e yakın ölüm doğrulandı; daha fazla ölümün de olayla ilişkili olduğu düşünüldü. Zehirli hammaddenin </w:t>
      </w:r>
      <w:r>
        <w:lastRenderedPageBreak/>
        <w:t xml:space="preserve">uluslararası tedarik zincirinde yanlış etiketlenerek birçok aracıdan geçtiği ortaya çık2022'den sonra benzer olaylar, Gambia, Indonesia ve Uzbekistangibi ülkelerde görüldü ve </w:t>
      </w:r>
      <w:r>
        <w:rPr>
          <w:rStyle w:val="Strong"/>
        </w:rPr>
        <w:t>300'den fazla çocuğun ölümüne</w:t>
      </w:r>
      <w:r>
        <w:t xml:space="preserve"> yol açtı. Bunlarda gösteriyor ki kağıt üzerindeki control mekanizmaları bazı ülkelerde fazla bir işe yaramıyor.</w:t>
      </w:r>
    </w:p>
    <w:p w14:paraId="7B4E5E87"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1970'li yıllarda digoksin ve fenitoin biyoyararlanım krizleri üretim prosesindeki küçük değişikliklerin bile klinik sonucu değiştirebildiğini göstermiştir.</w:t>
      </w:r>
    </w:p>
    <w:p w14:paraId="088D5AF4"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1980'lerden sonra FDA tarafından geliştirilen günümüz cGMP (Current GMP) yaklaşımı ise kaliteyi son ürün analizinden çıkararak üretim sürecinin tamamına yaymıştır. Bugün kalite artık laboratuvarda test edilerek değil, üretim süreci tasarlanırken inşa edilen bir özellik olarak kabul edilmektedir.:Bu yaklaşım daha sonra Avrupa Birliği, PIC/S ve Dünya Sağlık Örgütü tarafından da benimsenmiştir.</w:t>
      </w:r>
    </w:p>
    <w:p w14:paraId="31E70A7F" w14:textId="77777777" w:rsidR="00374B86" w:rsidRPr="00754EC9" w:rsidRDefault="00374B86" w:rsidP="00801023">
      <w:pPr>
        <w:spacing w:before="100" w:beforeAutospacing="1" w:after="100" w:afterAutospacing="1" w:line="240" w:lineRule="auto"/>
        <w:jc w:val="both"/>
        <w:outlineLvl w:val="1"/>
        <w:rPr>
          <w:rFonts w:cs="Times New Roman"/>
          <w:noProof/>
          <w:kern w:val="0"/>
          <w14:ligatures w14:val="none"/>
        </w:rPr>
      </w:pPr>
      <w:r>
        <w:rPr>
          <w:rFonts w:cs="Times New Roman"/>
          <w:b/>
          <w:noProof/>
          <w:kern w:val="0"/>
          <w:szCs w:val="36"/>
          <w14:ligatures w14:val="none"/>
        </w:rPr>
        <w:t>Türkiye'nin GMP Altyapısı:</w:t>
      </w:r>
      <w:r>
        <w:rPr>
          <w:rFonts w:cs="Times New Roman"/>
          <w:noProof/>
          <w:kern w:val="0"/>
          <w14:ligatures w14:val="none"/>
        </w:rPr>
        <w:t xml:space="preserve">Türkiye son on beş yıl içerisinde GMP altyapısında önemli gelişmeler kaydetmiştir. Türkiye İlaç ve Tıbbi Cihaz Kurumu (TİTCK), PIC/S üyeliği ile birlikte GMP mevzuatını büyük ölçüde Avrupa standartlarıyla uyumlu hale getirmiştir. Bugün yerli ve ithal ilaç üreticileri için uygulanan GMP kuralları </w:t>
      </w:r>
      <w:r>
        <w:rPr>
          <w:rFonts w:cs="Times New Roman"/>
          <w:b/>
          <w:bCs/>
          <w:noProof/>
          <w:kern w:val="0"/>
          <w14:ligatures w14:val="none"/>
        </w:rPr>
        <w:t>teorik olarak</w:t>
      </w:r>
      <w:r>
        <w:rPr>
          <w:rFonts w:cs="Times New Roman"/>
          <w:noProof/>
          <w:kern w:val="0"/>
          <w14:ligatures w14:val="none"/>
        </w:rPr>
        <w:t xml:space="preserve"> Avrupa Birliği ile benzer esaslara dayanmaktadır. Özellikle yerli ilaç sanayisinin uluslararası pazarlara açılabilmesi açısından PIC/S üyeliği önemli bir dönüm noktası olmuşsa da m</w:t>
      </w:r>
      <w:r>
        <w:rPr>
          <w:rFonts w:cs="Times New Roman"/>
          <w:bCs/>
          <w:noProof/>
          <w:kern w:val="0"/>
          <w14:ligatures w14:val="none"/>
        </w:rPr>
        <w:t xml:space="preserve">evzuatın Avrupa ile uyumlu olması, uygulamanın da aynı düzeyde olduğu anlamına gelir mi? </w:t>
      </w:r>
      <w:r>
        <w:rPr>
          <w:rFonts w:cs="Times New Roman"/>
          <w:noProof/>
          <w:kern w:val="0"/>
          <w14:ligatures w14:val="none"/>
        </w:rPr>
        <w:t xml:space="preserve">Bu soruya kesin bir "evet" yanıtı vermek mümkün değildir. Yerli ilaç sanayii maalesef halen ciddi kalite sorunu yaşamaktadır ve sorun büyük ölçüde TİTCK ten kaynaklanmaktadır. TİTCK henüz yeterli insan gücüne ve mali kaynağa sahip değildir. TİTCK da ortalama 1300 kişi çalışmakta ve bütçesi 2025 yılı itibari ile 8 milyar TL civarındadır. TİTCK bu bütçe ve kadro ile piyasadaki 10-12 bin ruhsatlı ürünü ve 2 milyondan fazla  kozmetik ürün ve cihazı ontrol etmek zorundadır. Bu mümkün değildir. TİTCK başlıca ilaç ruhsatlandırması, GMP denetimleri, klinik araştırmaların düzenlenmesi, tıbbi cihaz ve in vitro tanı cihazlarının denetimi, kozmetik ürünlerin düzenlenmesi, farmakovijilans ve ilaç güvenliğ gibi işleri yapmak zorundadır.Bu sebeple Türkiyede ilaçta kalite ilaç firmalarının ferasetine ve dürüstlüğne kalmıştır. FDA de 20.000 kişi çalışmakta ve bütçesi 7-8 milyar dolar civarındadır. Yalnız ilaç bölümünde (CDER) 5-6 bin kalifiye eleman çalışmakta. </w:t>
      </w:r>
    </w:p>
    <w:p w14:paraId="078A8B66" w14:textId="77777777" w:rsidR="00374B86" w:rsidRPr="00754EC9" w:rsidRDefault="00374B86" w:rsidP="00D26852">
      <w:pPr>
        <w:spacing w:before="100" w:beforeAutospacing="1" w:after="100" w:afterAutospacing="1" w:line="240" w:lineRule="auto"/>
        <w:jc w:val="both"/>
        <w:outlineLvl w:val="1"/>
        <w:rPr>
          <w:rFonts w:cs="Times New Roman"/>
          <w:noProof/>
          <w:kern w:val="0"/>
          <w14:ligatures w14:val="none"/>
        </w:rPr>
      </w:pPr>
      <w:r>
        <w:rPr>
          <w:rFonts w:cs="Times New Roman"/>
          <w:noProof/>
          <w:kern w:val="0"/>
          <w14:ligatures w14:val="none"/>
        </w:rPr>
        <w:t>Bir düzenleyici otoritenin başarısı yalnızca kaç dosyaya ruhsat verdiğiyle ölçülmez.</w:t>
      </w:r>
      <w:r>
        <w:rPr>
          <w:rFonts w:cs="Times New Roman"/>
          <w:bCs/>
          <w:noProof/>
          <w:kern w:val="0"/>
          <w:szCs w:val="36"/>
          <w14:ligatures w14:val="none"/>
        </w:rPr>
        <w:t xml:space="preserve"> Kalite denetiminde asıl iş rRuhsat verdikten sonra ortaya çıkar.Önemli ola</w:t>
      </w:r>
      <w:r>
        <w:rPr>
          <w:rFonts w:cs="Times New Roman"/>
          <w:noProof/>
          <w:kern w:val="0"/>
          <w14:ligatures w14:val="none"/>
        </w:rPr>
        <w:t>sıl önemli olan;</w:t>
      </w:r>
    </w:p>
    <w:p w14:paraId="691272B0" w14:textId="77777777" w:rsidR="00374B86" w:rsidRPr="00754EC9" w:rsidRDefault="00374B86" w:rsidP="00754EC9">
      <w:pPr>
        <w:numPr>
          <w:ilvl w:val="0"/>
          <w:numId w:val="1"/>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kaç tesisi yeniden denetlediği,</w:t>
      </w:r>
    </w:p>
    <w:p w14:paraId="03C6B158" w14:textId="77777777" w:rsidR="00374B86" w:rsidRPr="00754EC9" w:rsidRDefault="00374B86" w:rsidP="00754EC9">
      <w:pPr>
        <w:numPr>
          <w:ilvl w:val="0"/>
          <w:numId w:val="1"/>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kaç ürünü piyasadan örneklediği,</w:t>
      </w:r>
    </w:p>
    <w:p w14:paraId="788E238E" w14:textId="77777777" w:rsidR="00374B86" w:rsidRPr="00754EC9" w:rsidRDefault="00374B86" w:rsidP="00754EC9">
      <w:pPr>
        <w:numPr>
          <w:ilvl w:val="0"/>
          <w:numId w:val="1"/>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kaç seriyi laboratuvar analizine aldığı,</w:t>
      </w:r>
    </w:p>
    <w:p w14:paraId="7FF6ED54" w14:textId="77777777" w:rsidR="00374B86" w:rsidRPr="00754EC9" w:rsidRDefault="00374B86" w:rsidP="00754EC9">
      <w:pPr>
        <w:numPr>
          <w:ilvl w:val="0"/>
          <w:numId w:val="1"/>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kaç GMP uygunsuzluğu saptadığı,</w:t>
      </w:r>
    </w:p>
    <w:p w14:paraId="3EFB9B30" w14:textId="77777777" w:rsidR="00374B86" w:rsidRPr="00754EC9" w:rsidRDefault="00374B86" w:rsidP="00754EC9">
      <w:pPr>
        <w:numPr>
          <w:ilvl w:val="0"/>
          <w:numId w:val="1"/>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kaç ruhsatı askıya aldığı,</w:t>
      </w:r>
    </w:p>
    <w:p w14:paraId="557D5B06" w14:textId="77777777" w:rsidR="00021F41" w:rsidRPr="00F91401" w:rsidRDefault="00374B86" w:rsidP="00021F41">
      <w:pPr>
        <w:numPr>
          <w:ilvl w:val="0"/>
          <w:numId w:val="1"/>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kaç ürünü geri çektirdiği gibi hususlardır</w:t>
      </w:r>
    </w:p>
    <w:p w14:paraId="4519E62C" w14:textId="77777777" w:rsidR="00374B86" w:rsidRPr="00C415A7" w:rsidRDefault="00F91401" w:rsidP="00C415A7">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FDA ve EMA (Avrupa Resmi İlaç Kontrol Laboratuvarları ağı) OMLC aracılığıyla piyasadaki ürünleri bağımsız olarak analiz ettirmekte ve sonuçları şeffaf bir şekilde kamuoyuna açıklamaktadır. Bu sistemlerin ortak özelliği yalnızca ruhsatlandırma değil, </w:t>
      </w:r>
      <w:r>
        <w:rPr>
          <w:rFonts w:cs="Times New Roman"/>
          <w:bCs/>
          <w:noProof/>
          <w:kern w:val="0"/>
          <w14:ligatures w14:val="none"/>
        </w:rPr>
        <w:t>ruhsat sonrası doğrulamayı</w:t>
      </w:r>
      <w:r>
        <w:rPr>
          <w:rFonts w:cs="Times New Roman"/>
          <w:noProof/>
          <w:kern w:val="0"/>
          <w14:ligatures w14:val="none"/>
        </w:rPr>
        <w:t xml:space="preserve"> da kalite sisteminin ayrılmaz bir parçası olarak görmeleridir. Türkiye'de ise en önemli </w:t>
      </w:r>
      <w:r>
        <w:rPr>
          <w:rFonts w:cs="Times New Roman"/>
          <w:noProof/>
          <w:kern w:val="0"/>
          <w14:ligatures w14:val="none"/>
        </w:rPr>
        <w:lastRenderedPageBreak/>
        <w:t xml:space="preserve">tartışma noktası tam burada başlamaktadır. TİTCK'nın laboratuvar altyapısı bulunmasına rağmen piyasadaki binlerce ruhsatlı ürünün düzenli, rastgele ve bağımsız kalite analizlerinden geçirildiğini gösteren ayrıntılı kamu raporları son derece sınırlıdır. Bu durum bilimsel açıdan şu sorunun sorulmasını zorunlu kılar: </w:t>
      </w:r>
      <w:r>
        <w:rPr>
          <w:rFonts w:cs="Times New Roman"/>
          <w:bCs/>
          <w:noProof/>
          <w:kern w:val="0"/>
          <w14:ligatures w14:val="none"/>
        </w:rPr>
        <w:t xml:space="preserve">Bir kalite sistemi, sonuçlarını düzenli biçimde kamuoyu ile paylaşmıyorsa dışarıdan ne ölçüde değerlendirilebilir? </w:t>
      </w:r>
      <w:r>
        <w:rPr>
          <w:rFonts w:cs="Times New Roman"/>
          <w:noProof/>
          <w:kern w:val="0"/>
          <w14:ligatures w14:val="none"/>
        </w:rPr>
        <w:t>Bilimde güven yalnızca denetim yapmakla  değil, denetimin sonuçlarını şeffaf biçimde açıklamakla oluşur. Bütün bunlar göz önüne alındığında Türkiyede ilaçta, kozmetiklerde, takviyelerde, tıbbi cihazlarda vs yeteri kalite kontrolu olmadığı düşünülebilir.</w:t>
      </w:r>
    </w:p>
    <w:p w14:paraId="0D9FFC88"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Modern ilaç üretiminde GMP vazgeçilmezse de bu:biyoeşdeğerliğin, terapötik eşdeğerliğin, uzun dönem kalite sürekliliğinin ve üretim değişikliklerinden sonra oluşabilecek farmakokinetik farklılıkların yerine geçmez. GMP gerekli bir koşuldur ama tek başına hiçbir zaman yeterli değildir.</w:t>
      </w:r>
    </w:p>
    <w:p w14:paraId="4DA79904" w14:textId="77777777" w:rsidR="00B9765E" w:rsidRPr="00D86775" w:rsidRDefault="00000000" w:rsidP="00D86775">
      <w:pPr>
        <w:spacing w:before="100" w:beforeAutospacing="1" w:after="100" w:afterAutospacing="1" w:line="240" w:lineRule="auto"/>
        <w:jc w:val="both"/>
        <w:outlineLvl w:val="1"/>
        <w:rPr>
          <w:rFonts w:cs="Times New Roman"/>
          <w:b/>
          <w:bCs/>
          <w:noProof/>
          <w:kern w:val="36"/>
          <w:sz w:val="28"/>
          <w:szCs w:val="48"/>
          <w14:ligatures w14:val="none"/>
        </w:rPr>
      </w:pPr>
      <w:r>
        <w:rPr>
          <w:rFonts w:cs="Times New Roman"/>
          <w:b/>
          <w:bCs/>
          <w:noProof/>
          <w:kern w:val="36"/>
          <w:sz w:val="28"/>
          <w:szCs w:val="48"/>
          <w14:ligatures w14:val="none"/>
        </w:rPr>
        <w:t>7.1. GMP Denetiminin Kırılma Noktaları: Müfettiş Kapasitesi ve “Dosya Üzerinden Yenileme”</w:t>
      </w:r>
    </w:p>
    <w:p w14:paraId="31A5FD5B" w14:textId="77777777" w:rsidR="00B9765E" w:rsidRDefault="00B9765E" w:rsidP="00B9765E">
      <w:pPr>
        <w:spacing w:line="240" w:lineRule="auto"/>
        <w:contextualSpacing/>
        <w:jc w:val="both"/>
      </w:pPr>
      <w:r>
        <w:rPr>
          <w:rFonts w:ascii="Calibri" w:eastAsia="Calibri" w:hAnsi="Calibri" w:cs="Calibri"/>
          <w:sz w:val="23"/>
          <w:szCs w:val="23"/>
        </w:rPr>
        <w:t xml:space="preserve">TİTCK'nın biyoeşdeğerlik (BE) ve biyoyararlanım (BY) alanındaki yapısal eksiklikleri, ilaç kalitesi güvencesinin </w:t>
      </w:r>
      <w:r>
        <w:rPr>
          <w:rFonts w:ascii="Calibri" w:eastAsia="Calibri" w:hAnsi="Calibri" w:cs="Calibri"/>
          <w:i/>
          <w:iCs/>
          <w:sz w:val="23"/>
          <w:szCs w:val="23"/>
        </w:rPr>
        <w:t>üretim aşamasına</w:t>
      </w:r>
      <w:r>
        <w:rPr>
          <w:rFonts w:ascii="Calibri" w:eastAsia="Calibri" w:hAnsi="Calibri" w:cs="Calibri"/>
          <w:sz w:val="23"/>
          <w:szCs w:val="23"/>
        </w:rPr>
        <w:t xml:space="preserve"> yani İyi İmalat Uygulamaları (Good Manufacturing Practice, GMP) denetim rejimine bakıldığında benzer bir örüntüyle karşımıza çıkar. Bu bölüm, Türkiye'nin GMP denetim sistemindeki iki temel kırılma noktasını ele almaktadır: (i) denetim yükünü karşılamaya yapısal olarak yetersiz olan </w:t>
      </w:r>
      <w:r>
        <w:rPr>
          <w:rFonts w:ascii="Calibri" w:eastAsia="Calibri" w:hAnsi="Calibri" w:cs="Calibri"/>
          <w:b/>
          <w:bCs/>
          <w:sz w:val="23"/>
          <w:szCs w:val="23"/>
        </w:rPr>
        <w:t>müfettiş kapasitesi</w:t>
      </w:r>
      <w:r>
        <w:rPr>
          <w:b/>
          <w:bCs/>
        </w:rPr>
        <w:t xml:space="preserve"> (40-50 müfettiş)</w:t>
      </w:r>
      <w:r>
        <w:rPr>
          <w:rFonts w:ascii="Calibri" w:eastAsia="Calibri" w:hAnsi="Calibri" w:cs="Calibri"/>
          <w:sz w:val="23"/>
          <w:szCs w:val="23"/>
        </w:rPr>
        <w:t xml:space="preserve"> ve (ii) bu açığı telafi etmek üzere kurumsallaşmış olan </w:t>
      </w:r>
      <w:r>
        <w:rPr>
          <w:rFonts w:ascii="Calibri" w:eastAsia="Calibri" w:hAnsi="Calibri" w:cs="Calibri"/>
          <w:b/>
          <w:bCs/>
          <w:sz w:val="23"/>
          <w:szCs w:val="23"/>
        </w:rPr>
        <w:t>dosya üzerinden (yerinde denetim yapılmaksızın) GMP yenileme</w:t>
      </w:r>
      <w:r>
        <w:rPr>
          <w:rFonts w:ascii="Calibri" w:eastAsia="Calibri" w:hAnsi="Calibri" w:cs="Calibri"/>
          <w:sz w:val="23"/>
          <w:szCs w:val="23"/>
        </w:rPr>
        <w:t xml:space="preserve"> uygulaması. Bu iki unsur birlikte değerlendirildiğinde, TİTCK'nın PIC/S üyeliği ile edindiği uluslararası itibar ile sahadaki fiili uygulama arasında ciddi bir tutarsızlık ortaya çıkmaktadır.</w:t>
      </w:r>
    </w:p>
    <w:p w14:paraId="47F549CD" w14:textId="77777777" w:rsidR="00B9765E" w:rsidRDefault="00B9765E" w:rsidP="00B9765E">
      <w:pPr>
        <w:pStyle w:val="Heading2"/>
        <w:spacing w:before="260" w:after="120" w:line="240" w:lineRule="auto"/>
        <w:contextualSpacing/>
      </w:pPr>
      <w:r>
        <w:rPr>
          <w:rFonts w:ascii="Calibri" w:eastAsia="Calibri" w:hAnsi="Calibri" w:cs="Calibri"/>
          <w:b/>
          <w:bCs/>
          <w:color w:val="2E5496"/>
          <w:sz w:val="26"/>
          <w:szCs w:val="26"/>
        </w:rPr>
        <w:t>1. Müfettiş Kapasitesi: Denetim Yükü ile Kadro Arasındaki Yapısal Uçurum</w:t>
      </w:r>
    </w:p>
    <w:p w14:paraId="281D0ABA" w14:textId="77777777" w:rsidR="00B9765E" w:rsidRDefault="00B9765E" w:rsidP="00B9765E">
      <w:pPr>
        <w:spacing w:line="240" w:lineRule="auto"/>
        <w:contextualSpacing/>
        <w:jc w:val="both"/>
      </w:pPr>
      <w:r>
        <w:rPr>
          <w:rFonts w:ascii="Calibri" w:eastAsia="Calibri" w:hAnsi="Calibri" w:cs="Calibri"/>
          <w:sz w:val="23"/>
          <w:szCs w:val="23"/>
        </w:rPr>
        <w:t>Türkiye'de beşeri tıbbi ürünlerin GMP denetimlerini yürüten müfettiş kadrosunun yaklaşık 40–50 kişiden oluştuğu bilgisi, ilk bakışta makul görünse de denetim yükü ile kıyaslandığında ciddi bir kapasite açığını ortaya koymaktadır. Bu kadronun görev alanı yalnızca yurt içindeki yüzlerce beşeri tıbbi ürün imalathanesiyle sınırlı değildir; ithal edilen ilaçların dünya genelindeki yurt dışı üretim tesisleri de aynı otoritenin denetim sorumluluğu altındadır.</w:t>
      </w:r>
      <w:r>
        <w:t xml:space="preserve"> Türkiye’de AIFD 2025 İlaç Sektörü raporuna göre TİTCK tarafından onaylanmış101 ilaç üretim tesisi, 9 radyofarmasötik üretim tesisi, 8 bitkisel ürün/takviye tesisi vardır.  TİTCK şeffaf olmadığı için yurt dışında kaç üretim tesisinin denetlendiğini kesin olarak bilmiyorsak ta incelenmesi gereken tesis sayısı 100 ‘ün üzerinde olmalıdır.</w:t>
      </w:r>
    </w:p>
    <w:p w14:paraId="7D313F75" w14:textId="77777777" w:rsidR="00B9765E" w:rsidRDefault="00B9765E" w:rsidP="00B9765E">
      <w:pPr>
        <w:spacing w:line="240" w:lineRule="auto"/>
        <w:contextualSpacing/>
        <w:jc w:val="both"/>
      </w:pPr>
      <w:r>
        <w:rPr>
          <w:rFonts w:ascii="Calibri" w:eastAsia="Calibri" w:hAnsi="Calibri" w:cs="Calibri"/>
          <w:sz w:val="23"/>
          <w:szCs w:val="23"/>
        </w:rPr>
        <w:t>ABD Gıda ve İlaç Dairesi (FDA), yalnızca ilaç denetimi alanında binlerce müfettiş/soruşturmacı istihdam etmesine rağmen, özellikle yurt dışı tesis denetimlerindeki gecikmeler nedeniyle sürekli eleştirilmektedir. Avrupa Birliği sistemi ise tek bir ulusal otoritenin kapasitesine değil, 30'u aşkın üye ülkenin ulusal ilaç otoritelerinin müfettiş havuzunu ortak kullanan bir iş bölümü (joint inspection / work-sharing) mekanizmasına dayanır. Türkiye ise bu yükün tamamını tek bir kurumun sınırlı kadrosuyla taşımak durumundadır.</w:t>
      </w:r>
    </w:p>
    <w:p w14:paraId="655C6D0E" w14:textId="77777777" w:rsidR="00B9765E" w:rsidRDefault="00B9765E" w:rsidP="00B9765E">
      <w:pPr>
        <w:spacing w:line="240" w:lineRule="auto"/>
        <w:contextualSpacing/>
        <w:jc w:val="both"/>
      </w:pPr>
      <w:r>
        <w:rPr>
          <w:rFonts w:ascii="Calibri" w:eastAsia="Calibri" w:hAnsi="Calibri" w:cs="Calibri"/>
          <w:sz w:val="23"/>
          <w:szCs w:val="23"/>
        </w:rPr>
        <w:t xml:space="preserve">Bu kapasite açığının doğal — ancak sakıncalı — sonucu, sistemin </w:t>
      </w:r>
      <w:r>
        <w:rPr>
          <w:rFonts w:ascii="Calibri" w:eastAsia="Calibri" w:hAnsi="Calibri" w:cs="Calibri"/>
          <w:b/>
          <w:bCs/>
          <w:sz w:val="23"/>
          <w:szCs w:val="23"/>
        </w:rPr>
        <w:t>yerinde denetimi istisna, dosya üzerinden değerlendirmeyi ise fiili kural</w:t>
      </w:r>
      <w:r>
        <w:rPr>
          <w:rFonts w:ascii="Calibri" w:eastAsia="Calibri" w:hAnsi="Calibri" w:cs="Calibri"/>
          <w:sz w:val="23"/>
          <w:szCs w:val="23"/>
        </w:rPr>
        <w:t xml:space="preserve"> haline getirmeye yönelmesidir..</w:t>
      </w:r>
    </w:p>
    <w:p w14:paraId="25D08E2D" w14:textId="77777777" w:rsidR="00B9765E" w:rsidRDefault="00B9765E" w:rsidP="00B9765E">
      <w:pPr>
        <w:pStyle w:val="Heading2"/>
        <w:spacing w:before="260" w:after="120" w:line="240" w:lineRule="auto"/>
        <w:contextualSpacing/>
      </w:pPr>
      <w:r>
        <w:rPr>
          <w:rFonts w:ascii="Calibri" w:eastAsia="Calibri" w:hAnsi="Calibri" w:cs="Calibri"/>
          <w:b/>
          <w:bCs/>
          <w:color w:val="2E5496"/>
          <w:sz w:val="26"/>
          <w:szCs w:val="26"/>
        </w:rPr>
        <w:lastRenderedPageBreak/>
        <w:t>2. Sistemin En Savunulamaz Halkası: "İlk Denetim Yerinde, Yenileme Dosya Üzerinden"</w:t>
      </w:r>
    </w:p>
    <w:p w14:paraId="4CEB10E4" w14:textId="77777777" w:rsidR="00B9765E" w:rsidRDefault="00B9765E" w:rsidP="00B9765E">
      <w:pPr>
        <w:spacing w:line="240" w:lineRule="auto"/>
        <w:contextualSpacing/>
        <w:jc w:val="both"/>
      </w:pPr>
      <w:r>
        <w:rPr>
          <w:rFonts w:ascii="Calibri" w:eastAsia="Calibri" w:hAnsi="Calibri" w:cs="Calibri"/>
          <w:sz w:val="23"/>
          <w:szCs w:val="23"/>
        </w:rPr>
        <w:t>Türkiye GMP denetim rejiminin en kritik kırılma noktası, bir üretim tesisinin ilk GMP denetiminin yerinde (on-site) yapılması, ancak sonraki sertifika yenilemelerinin belirli koşullarda dosya üzerinden (yerinde denetim yapılmaksızın, sunulan belgelerin incelenmesiyle) gerçekleştirilebilmesidir. Bu uygulama, TİTCK'nın "Yurt Dışı Üretim Tesislerinin GMP Denetimleri İçin Yapılacak Müracaatlara Dair Kılavuz" belgesinde (güncel V03, 20.09.2022 tarihli Makam Oluru ile yürürlükte) düzenlenmiştir.</w:t>
      </w:r>
    </w:p>
    <w:p w14:paraId="70F3CBAC" w14:textId="77777777" w:rsidR="00B9765E" w:rsidRDefault="00B9765E" w:rsidP="00B9765E">
      <w:pPr>
        <w:pStyle w:val="Heading3"/>
        <w:spacing w:before="180" w:after="100" w:line="240" w:lineRule="auto"/>
        <w:contextualSpacing/>
      </w:pPr>
      <w:r>
        <w:rPr>
          <w:rFonts w:ascii="Calibri" w:eastAsia="Calibri" w:hAnsi="Calibri" w:cs="Calibri"/>
          <w:b/>
          <w:bCs/>
          <w:color w:val="44546A"/>
          <w:sz w:val="23"/>
          <w:szCs w:val="23"/>
        </w:rPr>
        <w:t>2.1. GMP Uygunluğu Bir "An"ın Değil, Bir "Sürekliliğin" Fotoğrafıdır</w:t>
      </w:r>
    </w:p>
    <w:p w14:paraId="53D98550" w14:textId="77777777" w:rsidR="00B9765E" w:rsidRDefault="00B9765E" w:rsidP="00B9765E">
      <w:pPr>
        <w:spacing w:line="240" w:lineRule="auto"/>
        <w:contextualSpacing/>
        <w:jc w:val="both"/>
      </w:pPr>
      <w:r>
        <w:rPr>
          <w:rFonts w:ascii="Calibri" w:eastAsia="Calibri" w:hAnsi="Calibri" w:cs="Calibri"/>
          <w:sz w:val="23"/>
          <w:szCs w:val="23"/>
        </w:rPr>
        <w:t>GMP uygunluğunun temel epistemolojik özelliği, statik değil dinamik bir durum olmasıdır. Bir tesisin denetim anında uygun bulunması, üç yıl sonra da uygun olduğunu garanti etmez. Bu süre zarfında ekipman yıpranır, kritik personel değişir, kalite kültürü çözülür ve kontaminasyon/çapraz bulaşma riskleri birikir. Fiziksel gözlem yapılmadan — steril alanlardaki personel davranışı, veri bütünlüğü (data integrity), üretim ve seri (batch) kayıtlarının gerçek zamanlı incelenmesi — bu tür sistemsel çürümelerin hiçbiri kağıt üzerinden tespit edilemez.</w:t>
      </w:r>
    </w:p>
    <w:p w14:paraId="5ADC2341" w14:textId="77777777" w:rsidR="00B9765E" w:rsidRDefault="00B9765E" w:rsidP="00B9765E">
      <w:pPr>
        <w:pStyle w:val="Heading3"/>
        <w:spacing w:before="180" w:after="100" w:line="240" w:lineRule="auto"/>
        <w:contextualSpacing/>
      </w:pPr>
      <w:r>
        <w:rPr>
          <w:rFonts w:ascii="Calibri" w:eastAsia="Calibri" w:hAnsi="Calibri" w:cs="Calibri"/>
          <w:b/>
          <w:bCs/>
          <w:color w:val="44546A"/>
          <w:sz w:val="23"/>
          <w:szCs w:val="23"/>
        </w:rPr>
        <w:t>2.2. Modern GMP İhlallerinin Büyük Kısmı Yalnızca Yerinde Görülebilir</w:t>
      </w:r>
    </w:p>
    <w:p w14:paraId="4A41629C" w14:textId="77777777" w:rsidR="00B9765E" w:rsidRDefault="00B9765E" w:rsidP="00B9765E">
      <w:pPr>
        <w:spacing w:line="240" w:lineRule="auto"/>
        <w:contextualSpacing/>
        <w:jc w:val="both"/>
      </w:pPr>
      <w:r>
        <w:rPr>
          <w:rFonts w:ascii="Calibri" w:eastAsia="Calibri" w:hAnsi="Calibri" w:cs="Calibri"/>
          <w:sz w:val="23"/>
          <w:szCs w:val="23"/>
        </w:rPr>
        <w:t xml:space="preserve">Son yıllardaki en ciddi GMP skandallarının neredeyse tamamı — veri bütünlüğü ihlalleri, silinmiş veya geriye dönük düzeltilmiş kromatogramlar, HPLC audit trail manipülasyonları, tekrar test edilerek uygun sonucun seçildiği (testing into compliance) laboratuvar pratikleri — </w:t>
      </w:r>
      <w:r>
        <w:rPr>
          <w:rFonts w:ascii="Calibri" w:eastAsia="Calibri" w:hAnsi="Calibri" w:cs="Calibri"/>
          <w:b/>
          <w:bCs/>
          <w:sz w:val="23"/>
          <w:szCs w:val="23"/>
        </w:rPr>
        <w:t>yerinde denetimde</w:t>
      </w:r>
      <w:r>
        <w:rPr>
          <w:rFonts w:ascii="Calibri" w:eastAsia="Calibri" w:hAnsi="Calibri" w:cs="Calibri"/>
          <w:sz w:val="23"/>
          <w:szCs w:val="23"/>
        </w:rPr>
        <w:t xml:space="preserve"> ortaya çıkarılmıştır. Bu ihlaller, laboratuvar bilgi sistemlerinin ham verilerine, denetim izlerine (audit trail), hatta fiziksel olarak imha edilmiş kayıtlara bakılarak tespit edilir. Dosya üzerinden yenileme mekanizması, tam da bu ihlal türlerini görünmez kılar: Firma, otoriteye uygun bir dosya sunar; ancak dosya, sistemsel gerçekliği değil, firmanın </w:t>
      </w:r>
      <w:r>
        <w:rPr>
          <w:rFonts w:ascii="Calibri" w:eastAsia="Calibri" w:hAnsi="Calibri" w:cs="Calibri"/>
          <w:i/>
          <w:iCs/>
          <w:sz w:val="23"/>
          <w:szCs w:val="23"/>
        </w:rPr>
        <w:t>sunmayı seçtiği</w:t>
      </w:r>
      <w:r>
        <w:rPr>
          <w:rFonts w:ascii="Calibri" w:eastAsia="Calibri" w:hAnsi="Calibri" w:cs="Calibri"/>
          <w:sz w:val="23"/>
          <w:szCs w:val="23"/>
        </w:rPr>
        <w:t xml:space="preserve"> gerçekliği yansıtır.</w:t>
      </w:r>
    </w:p>
    <w:p w14:paraId="4970C706" w14:textId="77777777" w:rsidR="00B9765E" w:rsidRDefault="00B9765E" w:rsidP="00B9765E">
      <w:pPr>
        <w:pStyle w:val="Heading3"/>
        <w:spacing w:before="180" w:after="100" w:line="240" w:lineRule="auto"/>
        <w:contextualSpacing/>
      </w:pPr>
      <w:r>
        <w:rPr>
          <w:rFonts w:ascii="Calibri" w:eastAsia="Calibri" w:hAnsi="Calibri" w:cs="Calibri"/>
          <w:b/>
          <w:bCs/>
          <w:color w:val="44546A"/>
          <w:sz w:val="23"/>
          <w:szCs w:val="23"/>
        </w:rPr>
        <w:t>2.3. Pandemi "Geçici Tedbirleri"nin Kalıcılaşması</w:t>
      </w:r>
    </w:p>
    <w:p w14:paraId="06900E8B" w14:textId="77777777" w:rsidR="00B9765E" w:rsidRDefault="00B9765E" w:rsidP="00B9765E">
      <w:pPr>
        <w:spacing w:line="240" w:lineRule="auto"/>
        <w:contextualSpacing/>
        <w:jc w:val="both"/>
      </w:pPr>
      <w:r>
        <w:rPr>
          <w:rFonts w:ascii="Calibri" w:eastAsia="Calibri" w:hAnsi="Calibri" w:cs="Calibri"/>
          <w:sz w:val="23"/>
          <w:szCs w:val="23"/>
        </w:rPr>
        <w:t xml:space="preserve">Dosya üzerinden denetim uygulaması, COVID-19 pandemisi döneminde "Yurt Dışı GMP Denetimleri ve Sertifikasyon Süreçleri Hakkında Pandemi Sürecinde Uygulanacak Ek Tedbirler" (03.12.2021 tarihli duyuru) kapsamında genişletilmiştir. Kritik olan husus şudur: TİTCK'nın 20.09.2022 tarihli kılavuz güncellemesinde dahi, söz konusu pandemi ek tedbirlerinin </w:t>
      </w:r>
      <w:r>
        <w:rPr>
          <w:rFonts w:ascii="Calibri" w:eastAsia="Calibri" w:hAnsi="Calibri" w:cs="Calibri"/>
          <w:b/>
          <w:bCs/>
          <w:sz w:val="23"/>
          <w:szCs w:val="23"/>
        </w:rPr>
        <w:t>geçerliliğini koruduğu</w:t>
      </w:r>
      <w:r>
        <w:rPr>
          <w:rFonts w:ascii="Calibri" w:eastAsia="Calibri" w:hAnsi="Calibri" w:cs="Calibri"/>
          <w:sz w:val="23"/>
          <w:szCs w:val="23"/>
        </w:rPr>
        <w:t xml:space="preserve"> açıkça belirtilmiştir. Bu, düzenleyici sistemlerde iyi bilinen bir patolojidir: kriz döneminin istisnası, normal dönemin kuralına dönüşür. Pandemi sona erdikten sonra yerinde denetime tam dönüşün yapılmaması, sistemin kapasite açığını (bkz. Bölüm 1) muafiyet mekanizmasıyla telafi etme eğiliminin doğrudan kanıtıdır.</w:t>
      </w:r>
    </w:p>
    <w:p w14:paraId="5F8AAA69" w14:textId="77777777" w:rsidR="00B9765E" w:rsidRDefault="00B9765E" w:rsidP="00B9765E">
      <w:pPr>
        <w:pStyle w:val="Heading2"/>
        <w:spacing w:before="260" w:after="120" w:line="240" w:lineRule="auto"/>
        <w:contextualSpacing/>
      </w:pPr>
      <w:r>
        <w:rPr>
          <w:rFonts w:ascii="Calibri" w:eastAsia="Calibri" w:hAnsi="Calibri" w:cs="Calibri"/>
          <w:b/>
          <w:bCs/>
          <w:color w:val="2E5496"/>
          <w:sz w:val="26"/>
          <w:szCs w:val="26"/>
        </w:rPr>
        <w:t>3. PIC/S Eğitiminin Sınırı: "Prosedür Var" ile "Uygulama Var" Arasındaki Fark</w:t>
      </w:r>
    </w:p>
    <w:p w14:paraId="65B855A9" w14:textId="77777777" w:rsidR="00B9765E" w:rsidRDefault="00B9765E" w:rsidP="00B9765E">
      <w:pPr>
        <w:spacing w:line="240" w:lineRule="auto"/>
        <w:contextualSpacing/>
        <w:jc w:val="both"/>
      </w:pPr>
      <w:r>
        <w:rPr>
          <w:rFonts w:ascii="Calibri" w:eastAsia="Calibri" w:hAnsi="Calibri" w:cs="Calibri"/>
          <w:sz w:val="23"/>
          <w:szCs w:val="23"/>
        </w:rPr>
        <w:t>TİTCK müfettişlerinin PIC/S (Pharmaceutical Inspection Co-operation Scheme) standartlarında eğitim alması — uluslararası uzmanların Türkiye'ye gelerek eğitim vermesi dahil — ve TİTCK'nın 2018 yılında PIC/S üyeliğine kabul edilmesi, gerçek ve önemli kazanımlardır. Üyelik süreci, çok sayıda parametre üzerinden yürütülen kapsamlı bir değerlendirmeyi ve farklı ülkelerden gelen müfettişlerin yerinde incelemesini içermektedir. Bu, göz ardı edilemeyecek bir kurumsal olgunlaşmadır.</w:t>
      </w:r>
    </w:p>
    <w:p w14:paraId="6BBB143A" w14:textId="77777777" w:rsidR="00B9765E" w:rsidRDefault="00B9765E" w:rsidP="00B9765E">
      <w:pPr>
        <w:spacing w:line="240" w:lineRule="auto"/>
        <w:contextualSpacing/>
        <w:jc w:val="both"/>
      </w:pPr>
      <w:r>
        <w:rPr>
          <w:rFonts w:ascii="Calibri" w:eastAsia="Calibri" w:hAnsi="Calibri" w:cs="Calibri"/>
          <w:sz w:val="23"/>
          <w:szCs w:val="23"/>
        </w:rPr>
        <w:t xml:space="preserve">Ancak burada kritik bir ayrım şarttır: PIC/S üyeliği, bir otoritenin denetim </w:t>
      </w:r>
      <w:r>
        <w:rPr>
          <w:rFonts w:ascii="Calibri" w:eastAsia="Calibri" w:hAnsi="Calibri" w:cs="Calibri"/>
          <w:i/>
          <w:iCs/>
          <w:sz w:val="23"/>
          <w:szCs w:val="23"/>
        </w:rPr>
        <w:t>sisteminin kağıt üzerinde uluslararası standartlarla uyumlu olduğunu</w:t>
      </w:r>
      <w:r>
        <w:rPr>
          <w:rFonts w:ascii="Calibri" w:eastAsia="Calibri" w:hAnsi="Calibri" w:cs="Calibri"/>
          <w:sz w:val="23"/>
          <w:szCs w:val="23"/>
        </w:rPr>
        <w:t xml:space="preserve"> tescil eder; bu standartların sahada tutarlı biçimde uygulandığını sürekli olarak garanti etmez. PIC/S standartlarına göre eğitilmiş bir müfettiş kadrosunun varlığı ile bu kadronun dosya üzerinden yenileme yaparak kendi eğitiminin gerektirdiği yerinde gözlemi atlaması arasında açık bir çelişki bulunmaktadır. Sistem, müfettişlerini "en yüksek standartta denetim </w:t>
      </w:r>
      <w:r>
        <w:rPr>
          <w:rFonts w:ascii="Calibri" w:eastAsia="Calibri" w:hAnsi="Calibri" w:cs="Calibri"/>
          <w:sz w:val="23"/>
          <w:szCs w:val="23"/>
        </w:rPr>
        <w:lastRenderedPageBreak/>
        <w:t xml:space="preserve">yapabilecek" şekilde eğitmekte, ardından onları "belge inceleyerek yenileme yap" pozisyonuna yerleştirmektedir. Bu, </w:t>
      </w:r>
      <w:r>
        <w:rPr>
          <w:rFonts w:ascii="Calibri" w:eastAsia="Calibri" w:hAnsi="Calibri" w:cs="Calibri"/>
          <w:b/>
          <w:bCs/>
          <w:sz w:val="23"/>
          <w:szCs w:val="23"/>
        </w:rPr>
        <w:t>eğitilen yetkinlik ile fiilen kullanılan yetkinlik arasındaki uçurumdur</w:t>
      </w:r>
      <w:r>
        <w:rPr>
          <w:rFonts w:ascii="Calibri" w:eastAsia="Calibri" w:hAnsi="Calibri" w:cs="Calibri"/>
          <w:sz w:val="23"/>
          <w:szCs w:val="23"/>
        </w:rPr>
        <w:t>.</w:t>
      </w:r>
    </w:p>
    <w:p w14:paraId="0303DB20" w14:textId="77777777" w:rsidR="00B9765E" w:rsidRDefault="00B9765E" w:rsidP="00B9765E">
      <w:pPr>
        <w:pStyle w:val="Heading2"/>
        <w:spacing w:before="260" w:after="120" w:line="240" w:lineRule="auto"/>
        <w:contextualSpacing/>
      </w:pPr>
      <w:r>
        <w:rPr>
          <w:rFonts w:ascii="Calibri" w:eastAsia="Calibri" w:hAnsi="Calibri" w:cs="Calibri"/>
          <w:b/>
          <w:bCs/>
          <w:color w:val="2E5496"/>
          <w:sz w:val="26"/>
          <w:szCs w:val="26"/>
        </w:rPr>
        <w:t>4. Örüntünün Bütünlüğü: Iclusig ve Allpharma Vakalarıyla Bağlantı</w:t>
      </w:r>
    </w:p>
    <w:p w14:paraId="45FA1D3C" w14:textId="77777777" w:rsidR="00B9765E" w:rsidRDefault="00B9765E" w:rsidP="00B9765E">
      <w:pPr>
        <w:spacing w:line="240" w:lineRule="auto"/>
        <w:contextualSpacing/>
        <w:jc w:val="both"/>
      </w:pPr>
      <w:r>
        <w:rPr>
          <w:rFonts w:ascii="Calibri" w:eastAsia="Calibri" w:hAnsi="Calibri" w:cs="Calibri"/>
          <w:sz w:val="23"/>
          <w:szCs w:val="23"/>
        </w:rPr>
        <w:t xml:space="preserve">Bu GMP eleştirisi, bu çalışmanın önceki bölümlerinde ortaya konan bulgularla çarpıcı bir tutarlılık gösterir ve onları güçlendirir. Türkiye'nin düzenleyici sisteminde tekrar eden yapısal zaaf, </w:t>
      </w:r>
      <w:r>
        <w:rPr>
          <w:rFonts w:ascii="Calibri" w:eastAsia="Calibri" w:hAnsi="Calibri" w:cs="Calibri"/>
          <w:b/>
          <w:bCs/>
          <w:sz w:val="23"/>
          <w:szCs w:val="23"/>
        </w:rPr>
        <w:t>fiziksel/bağımsız doğrulamanın belge incelemesiyle ikame edilmesi</w:t>
      </w:r>
      <w:r>
        <w:rPr>
          <w:rFonts w:ascii="Calibri" w:eastAsia="Calibri" w:hAnsi="Calibri" w:cs="Calibri"/>
          <w:sz w:val="23"/>
          <w:szCs w:val="23"/>
        </w:rPr>
        <w:t xml:space="preserve"> eğilimidir.</w:t>
      </w:r>
    </w:p>
    <w:p w14:paraId="274072FF" w14:textId="77777777" w:rsidR="00B9765E" w:rsidRDefault="00B9765E" w:rsidP="00B9765E">
      <w:pPr>
        <w:pStyle w:val="ListParagraph"/>
        <w:numPr>
          <w:ilvl w:val="0"/>
          <w:numId w:val="43"/>
        </w:numPr>
        <w:spacing w:after="100" w:line="240" w:lineRule="auto"/>
        <w:jc w:val="both"/>
      </w:pPr>
      <w:r>
        <w:rPr>
          <w:rFonts w:ascii="Calibri" w:eastAsia="Calibri" w:hAnsi="Calibri" w:cs="Calibri"/>
          <w:b/>
          <w:bCs/>
          <w:sz w:val="23"/>
          <w:szCs w:val="23"/>
        </w:rPr>
        <w:t xml:space="preserve">Iclusig/ponatinib vakası: </w:t>
      </w:r>
      <w:r>
        <w:rPr>
          <w:rFonts w:ascii="Calibri" w:eastAsia="Calibri" w:hAnsi="Calibri" w:cs="Calibri"/>
          <w:sz w:val="23"/>
          <w:szCs w:val="23"/>
        </w:rPr>
        <w:t>TİTCK'nın kendi laboratuvarının, gerçekte yalnızca parasetamol içeren sahte bir kanser ilacını "uygun" olarak temizlediği; buna karşın SWISSMEDIC, Takeda ve Ankara Üniversitesi'nin ürünün sahteliğini doğruladığı vaka, laboratuvar/analiz güvencesi ile gerçek ürün kalitesi arasındaki uçurumun somut kanıtıdır. Dosya üzerinden GMP yenilemesi, tam da bu tür kör noktaları sistematik hale getirir.</w:t>
      </w:r>
    </w:p>
    <w:p w14:paraId="6E887634" w14:textId="77777777" w:rsidR="00B9765E" w:rsidRDefault="00B9765E" w:rsidP="00B9765E">
      <w:pPr>
        <w:pStyle w:val="ListParagraph"/>
        <w:numPr>
          <w:ilvl w:val="0"/>
          <w:numId w:val="43"/>
        </w:numPr>
        <w:spacing w:after="100" w:line="240" w:lineRule="auto"/>
        <w:jc w:val="both"/>
      </w:pPr>
      <w:r>
        <w:rPr>
          <w:rFonts w:ascii="Calibri" w:eastAsia="Calibri" w:hAnsi="Calibri" w:cs="Calibri"/>
          <w:b/>
          <w:bCs/>
          <w:sz w:val="23"/>
          <w:szCs w:val="23"/>
        </w:rPr>
        <w:t xml:space="preserve">Allpharma sahte BE dosyası skandalı: </w:t>
      </w:r>
      <w:r>
        <w:rPr>
          <w:rFonts w:ascii="Calibri" w:eastAsia="Calibri" w:hAnsi="Calibri" w:cs="Calibri"/>
          <w:sz w:val="23"/>
          <w:szCs w:val="23"/>
        </w:rPr>
        <w:t>Bir İsviçre CRO'sunun sahte biyoeşdeğerlik dosyası ürettiği vakada olduğu gibi, "dosya" denetlenebilir; ancak dosyanın gerçekliği yalnızca yerinde ve/veya bağımsız doğrulamayla test edilebilir. BE'de sahte dosya sorunu ile GMP'de dosya üzerinden yenileme sorunu, aynı epistemolojik zaafın iki farklı yüzüdür: TİTCK'nın, sunulan belgeye, üretilen gerçekliğin yerine geçecek düzeyde güvenmesi.</w:t>
      </w:r>
    </w:p>
    <w:p w14:paraId="042B935E" w14:textId="77777777" w:rsidR="00B9765E" w:rsidRDefault="00B9765E" w:rsidP="00B9765E">
      <w:pPr>
        <w:spacing w:line="240" w:lineRule="auto"/>
        <w:contextualSpacing/>
        <w:jc w:val="both"/>
      </w:pPr>
      <w:r>
        <w:rPr>
          <w:rFonts w:ascii="Calibri" w:eastAsia="Calibri" w:hAnsi="Calibri" w:cs="Calibri"/>
          <w:sz w:val="23"/>
          <w:szCs w:val="23"/>
        </w:rPr>
        <w:t xml:space="preserve">Bu üç unsur (Iclusig + Allpharma + dosya üzerinden GMP) bir araya geldiğinde, güçlü ve tutarlı bir tez ortaya çıkar: </w:t>
      </w:r>
      <w:r>
        <w:rPr>
          <w:rFonts w:ascii="Calibri" w:eastAsia="Calibri" w:hAnsi="Calibri" w:cs="Calibri"/>
          <w:b/>
          <w:bCs/>
          <w:sz w:val="23"/>
          <w:szCs w:val="23"/>
        </w:rPr>
        <w:t>Türkiye'nin ilaç düzenleyici sistemi, fiziksel ve bağımsız doğrulamayı belge incelemesiyle ikame etme yönünde yapısal bir eğilim taşımakta ve bu eğilim tekrar tekrar başarısızlığa yol açmaktadır.</w:t>
      </w:r>
    </w:p>
    <w:p w14:paraId="16C134F9" w14:textId="77777777" w:rsidR="00B9765E" w:rsidRDefault="00B9765E" w:rsidP="00B9765E">
      <w:pPr>
        <w:pStyle w:val="Heading2"/>
        <w:spacing w:before="260" w:after="120" w:line="240" w:lineRule="auto"/>
        <w:contextualSpacing/>
      </w:pPr>
      <w:r>
        <w:rPr>
          <w:rFonts w:ascii="Calibri" w:eastAsia="Calibri" w:hAnsi="Calibri" w:cs="Calibri"/>
          <w:b/>
          <w:bCs/>
          <w:color w:val="2E5496"/>
          <w:sz w:val="26"/>
          <w:szCs w:val="26"/>
        </w:rPr>
        <w:t>5. Dengeli Değerlendirme ve Öneriler</w:t>
      </w:r>
    </w:p>
    <w:p w14:paraId="0D19F44D" w14:textId="77777777" w:rsidR="00B9765E" w:rsidRDefault="00B9765E" w:rsidP="00B9765E">
      <w:pPr>
        <w:spacing w:line="240" w:lineRule="auto"/>
        <w:contextualSpacing/>
        <w:jc w:val="both"/>
      </w:pPr>
      <w:r>
        <w:rPr>
          <w:rFonts w:ascii="Calibri" w:eastAsia="Calibri" w:hAnsi="Calibri" w:cs="Calibri"/>
          <w:sz w:val="23"/>
          <w:szCs w:val="23"/>
        </w:rPr>
        <w:t xml:space="preserve">Bilimsel dürüstlük, eleştirinin sınırının da netleştirilmesini gerektirir. Dosya üzerinden (desk-based) değerlendirme, mekanizma olarak kendiliğinden hatalı değildir; PIC/S ve EMA sistemlerinde de risk bazlı denetim yaklaşımının bir parçası olarak belirli ve sınırlı koşullarda kabul görür: düşük riskli ürün/tesis kategorisi, temiz ve tutarlı denetim geçmişi, kısa yenileme aralığı ve şeffaf risk sınıflaması. Eleştirilmesi gereken, mekanizmanın kendisi değil, Türkiye'deki </w:t>
      </w:r>
      <w:r>
        <w:rPr>
          <w:rFonts w:ascii="Calibri" w:eastAsia="Calibri" w:hAnsi="Calibri" w:cs="Calibri"/>
          <w:b/>
          <w:bCs/>
          <w:sz w:val="23"/>
          <w:szCs w:val="23"/>
        </w:rPr>
        <w:t>kapasite açığı nedeniyle istisna olması gerekenin fiili kural haline gelmesi</w:t>
      </w:r>
      <w:r>
        <w:rPr>
          <w:rFonts w:ascii="Calibri" w:eastAsia="Calibri" w:hAnsi="Calibri" w:cs="Calibri"/>
          <w:sz w:val="23"/>
          <w:szCs w:val="23"/>
        </w:rPr>
        <w:t xml:space="preserve"> ve risk sınıflamasının kamuoyuna karşı şeffaf olmamasıdır.</w:t>
      </w:r>
    </w:p>
    <w:p w14:paraId="37BDD828" w14:textId="77777777" w:rsidR="00B9765E" w:rsidRDefault="00B9765E" w:rsidP="00B9765E">
      <w:pPr>
        <w:spacing w:line="240" w:lineRule="auto"/>
        <w:contextualSpacing/>
        <w:jc w:val="both"/>
      </w:pPr>
      <w:r>
        <w:rPr>
          <w:rFonts w:ascii="Calibri" w:eastAsia="Calibri" w:hAnsi="Calibri" w:cs="Calibri"/>
          <w:b/>
          <w:bCs/>
          <w:sz w:val="23"/>
          <w:szCs w:val="23"/>
        </w:rPr>
        <w:t>Bu çerçevede önerilen düzeltici adımlar:</w:t>
      </w:r>
    </w:p>
    <w:p w14:paraId="091A5A7D" w14:textId="77777777" w:rsidR="00B9765E" w:rsidRDefault="00B9765E" w:rsidP="00B9765E">
      <w:pPr>
        <w:pStyle w:val="ListParagraph"/>
        <w:numPr>
          <w:ilvl w:val="0"/>
          <w:numId w:val="43"/>
        </w:numPr>
        <w:spacing w:after="100" w:line="240" w:lineRule="auto"/>
        <w:jc w:val="both"/>
      </w:pPr>
      <w:r>
        <w:rPr>
          <w:rFonts w:ascii="Calibri" w:eastAsia="Calibri" w:hAnsi="Calibri" w:cs="Calibri"/>
          <w:sz w:val="23"/>
          <w:szCs w:val="23"/>
        </w:rPr>
        <w:t>Müfettiş kadrosunun, yurt içi + yurt dışı denetim yüküyle orantılı olacak şekilde kademeli ve planlı biçimde genişletilmesi; müfettiş başına düşen tesis sayısının PIC/S ölçütlerine göre şeffaf biçimde raporlanması.</w:t>
      </w:r>
    </w:p>
    <w:p w14:paraId="530E2CB9" w14:textId="77777777" w:rsidR="00B9765E" w:rsidRDefault="00B9765E" w:rsidP="00B9765E">
      <w:pPr>
        <w:pStyle w:val="ListParagraph"/>
        <w:numPr>
          <w:ilvl w:val="0"/>
          <w:numId w:val="43"/>
        </w:numPr>
        <w:spacing w:after="100" w:line="240" w:lineRule="auto"/>
        <w:jc w:val="both"/>
      </w:pPr>
      <w:r>
        <w:rPr>
          <w:rFonts w:ascii="Calibri" w:eastAsia="Calibri" w:hAnsi="Calibri" w:cs="Calibri"/>
          <w:sz w:val="23"/>
          <w:szCs w:val="23"/>
        </w:rPr>
        <w:t>Dosya üzerinden yenilemenin, ürün/tesis risk sınıfına bağlı, üst sınırı ve azami süresi net biçimde tanımlanmış, kamuya açık bir risk matrisine bağlanması; ardışık dosya yenilemelerine kesin bir tavan getirilmesi.</w:t>
      </w:r>
    </w:p>
    <w:p w14:paraId="61D6A1B4" w14:textId="77777777" w:rsidR="00B9765E" w:rsidRDefault="00B9765E" w:rsidP="00B9765E">
      <w:pPr>
        <w:pStyle w:val="ListParagraph"/>
        <w:numPr>
          <w:ilvl w:val="0"/>
          <w:numId w:val="43"/>
        </w:numPr>
        <w:spacing w:after="100" w:line="240" w:lineRule="auto"/>
        <w:jc w:val="both"/>
      </w:pPr>
      <w:r>
        <w:rPr>
          <w:rFonts w:ascii="Calibri" w:eastAsia="Calibri" w:hAnsi="Calibri" w:cs="Calibri"/>
          <w:sz w:val="23"/>
          <w:szCs w:val="23"/>
        </w:rPr>
        <w:t>Yüksek riskli ürünler (dar terapötik indeksli [NTI] ilaçlar, steril/enjektabl ürünler, biyolojik/biyobenzer ürünler) için dosya üzerinden yenileme muafiyetinin tümüyle kaldırılması ve zorunlu yerinde denetim getirilmesi.</w:t>
      </w:r>
    </w:p>
    <w:p w14:paraId="020650D5" w14:textId="77777777" w:rsidR="00B9765E" w:rsidRDefault="00B9765E" w:rsidP="00B9765E">
      <w:pPr>
        <w:pStyle w:val="ListParagraph"/>
        <w:numPr>
          <w:ilvl w:val="0"/>
          <w:numId w:val="43"/>
        </w:numPr>
        <w:spacing w:after="100" w:line="240" w:lineRule="auto"/>
        <w:jc w:val="both"/>
      </w:pPr>
      <w:r>
        <w:rPr>
          <w:rFonts w:ascii="Calibri" w:eastAsia="Calibri" w:hAnsi="Calibri" w:cs="Calibri"/>
          <w:sz w:val="23"/>
          <w:szCs w:val="23"/>
        </w:rPr>
        <w:t>Veri bütünlüğü (data integrity) denetiminin, yerinde denetimin ayrılmaz ve zorunlu bir bileşeni olarak açıkça tanımlanması.</w:t>
      </w:r>
    </w:p>
    <w:p w14:paraId="4757B812" w14:textId="77777777" w:rsidR="00B9765E" w:rsidRDefault="00B9765E" w:rsidP="00B9765E">
      <w:pPr>
        <w:pStyle w:val="ListParagraph"/>
        <w:numPr>
          <w:ilvl w:val="0"/>
          <w:numId w:val="43"/>
        </w:numPr>
        <w:spacing w:after="100" w:line="240" w:lineRule="auto"/>
        <w:jc w:val="both"/>
      </w:pPr>
      <w:r>
        <w:rPr>
          <w:rFonts w:ascii="Calibri" w:eastAsia="Calibri" w:hAnsi="Calibri" w:cs="Calibri"/>
          <w:sz w:val="23"/>
          <w:szCs w:val="23"/>
        </w:rPr>
        <w:t>Pandemi kaynaklı "geçici" ek tedbirlerin resmi olarak sonlandırılması ve yerinde denetime dönüş takviminin kamuoyuyla paylaşılması.</w:t>
      </w:r>
    </w:p>
    <w:p w14:paraId="0B3D6954" w14:textId="77777777" w:rsidR="00B9765E" w:rsidRDefault="00B9765E" w:rsidP="00B9765E">
      <w:pPr>
        <w:pStyle w:val="ListParagraph"/>
        <w:numPr>
          <w:ilvl w:val="0"/>
          <w:numId w:val="43"/>
        </w:numPr>
        <w:spacing w:after="100" w:line="240" w:lineRule="auto"/>
        <w:jc w:val="both"/>
      </w:pPr>
      <w:r>
        <w:lastRenderedPageBreak/>
        <w:t>Hepsinden önemlisi müfettişlerin ve müfettiş adaylarının politik görüşlerine, cemaat ilişkilerine, dostluklara vs ye göre değil liyakata göre seçilmesidir.</w:t>
      </w:r>
    </w:p>
    <w:p w14:paraId="4DFE7D61" w14:textId="77777777" w:rsidR="00B9765E" w:rsidRPr="00B9765E" w:rsidRDefault="00B9765E" w:rsidP="00B9765E">
      <w:pPr>
        <w:spacing w:line="240" w:lineRule="auto"/>
        <w:contextualSpacing/>
        <w:jc w:val="both"/>
      </w:pPr>
      <w:r>
        <w:rPr>
          <w:rFonts w:ascii="Calibri" w:eastAsia="Calibri" w:hAnsi="Calibri" w:cs="Calibri"/>
          <w:sz w:val="23"/>
          <w:szCs w:val="23"/>
        </w:rPr>
        <w:t xml:space="preserve">Sonuç olarak, TİTCK'nın PIC/S üyeliği ve müfettişlerinin uluslararası eğitimi, doğru yönde atılmış ve takdir edilmesi gereken adımlardır. Ancak bu kazanımlar, sahadaki uygulama — özellikle kapasite açığıyla malul dosya üzerinden yenileme rejimi — düzeltilmedikçe, büyük ölçüde </w:t>
      </w:r>
      <w:r>
        <w:rPr>
          <w:rFonts w:ascii="Calibri" w:eastAsia="Calibri" w:hAnsi="Calibri" w:cs="Calibri"/>
          <w:i/>
          <w:iCs/>
          <w:sz w:val="23"/>
          <w:szCs w:val="23"/>
        </w:rPr>
        <w:t>biçimsel bir uyum</w:t>
      </w:r>
      <w:r>
        <w:rPr>
          <w:rFonts w:ascii="Calibri" w:eastAsia="Calibri" w:hAnsi="Calibri" w:cs="Calibri"/>
          <w:sz w:val="23"/>
          <w:szCs w:val="23"/>
        </w:rPr>
        <w:t xml:space="preserve"> düzeyinde kalmaya mahkumdur. İlaç kalitesi güvencesi, nihayetinde belgenin değil, gerçekliğin denetlenmesini gerektirir.</w:t>
      </w:r>
    </w:p>
    <w:p w14:paraId="371CBF1E" w14:textId="77777777" w:rsidR="004E399A" w:rsidRDefault="00000000">
      <w:pPr>
        <w:spacing w:before="140" w:after="80"/>
      </w:pPr>
      <w:r>
        <w:rPr>
          <w:b/>
        </w:rPr>
        <w:t>7.2. İthal Ürünler ve Güven (Reliance) Mekanizmasının Sınırı</w:t>
      </w:r>
    </w:p>
    <w:p w14:paraId="64DCA34F" w14:textId="77777777" w:rsidR="004E399A" w:rsidRDefault="00000000">
      <w:pPr>
        <w:spacing w:after="140"/>
        <w:jc w:val="both"/>
      </w:pPr>
      <w:r>
        <w:t>Türkiye'de tüketilen ilaçların ve etkin maddelerin (API) büyük bölümü ithaldir; dolayısıyla "ilk denetim yerinde, yenilemesi kâğıt üzerinde" mantığının en kritik uygulandığı yer yurt dışı üretim tesisleridir. Burada zincirin zayıf halkası ikiye katlanır: bir ilacın güvenilirliği yalnızca onu üreten ülkenin denetimine değil, o belgeyi kabul eden otoritenin doğrulamasına da bağlıdır.</w:t>
      </w:r>
    </w:p>
    <w:p w14:paraId="7F71FD7D" w14:textId="77777777" w:rsidR="004E399A" w:rsidRDefault="00000000">
      <w:pPr>
        <w:spacing w:after="140"/>
        <w:jc w:val="both"/>
      </w:pPr>
      <w:r>
        <w:rPr>
          <w:b/>
        </w:rPr>
        <w:t xml:space="preserve">Çin örneği bunu somutlaştırır. </w:t>
      </w:r>
      <w:r>
        <w:t>Çin dünyanın en büyük API üreticisidir ve NMPA son on yılda ciddi reform yapmış, 2017'de ICH üyesi olmuştur; ancak NMPA henüz PIC/S üyesi değildir (2023'ten beri başvuru sürecindedir) ve yürürlükteki GMP metni güncel PIC/S kılavuzunun gerisindedir. Bu ölçekte kalite üreticiden üreticiye büyük ölçüde değiştiğinden tek ve türdeş bir güven düzeyi yoktur.</w:t>
      </w:r>
    </w:p>
    <w:p w14:paraId="5316A4E9" w14:textId="77777777" w:rsidR="004E399A" w:rsidRDefault="00000000">
      <w:pPr>
        <w:spacing w:after="140"/>
        <w:jc w:val="both"/>
      </w:pPr>
      <w:r>
        <w:t>TİTCK ile Çin arasında GMP denetimlerinin karşılıklı tanınmasına dair resmî bir anlaşma bulunmadığından, Çin'de düzenlenmiş bir sertifika Türkiye'de otomatik kabul edilen bir belge değildir; Kurum kendi değerlendirmesini yapma yetkisini korur. Sorun yetkinin varlığında değil, fiilî kullanımındadır: yurt dışı tesislerin giderek artan bölümü, 2022'de eklenen güven (reliance) kılavuzuyla birlikte fiilen yerinde görülmeden, dosya ve başka otoritelerin raporları üzerinden onaylanabilmektedir. PIC/S üyesi olmayan, daha önce hiç yerinde denetlenmemiş bir tesis söz konusu olduğunda, yalnızca kâğıda dayalı bir onayın güvencesi tartışmalıdır. Nitekim bu bölümün ilerleyen kısımlarında ele alınan valsartan/nitrozamin krizi, bir Çinli üreticideki kirliliğin yıllarca rutin denetimle değil, ancak bir müşterinin analitik bulgusuyla ortaya çıktığını göstermiştir. Aynı ilke, referansı olmayan sabit doz kombinasyonları ve yurt dışı biyoeşdeğerlik çalışmaları için de geçerlidir: güven, bağımsız doğrulamayla desteklenmediğinde bir güvence değil, bir varsayımdır.</w:t>
      </w:r>
    </w:p>
    <w:p w14:paraId="26C16C44" w14:textId="77777777" w:rsidR="00374B86" w:rsidRPr="00754EC9" w:rsidRDefault="00374B86" w:rsidP="00754EC9">
      <w:pPr>
        <w:spacing w:before="100" w:beforeAutospacing="1" w:after="100" w:afterAutospacing="1" w:line="240" w:lineRule="auto"/>
        <w:jc w:val="both"/>
        <w:outlineLvl w:val="0"/>
        <w:rPr>
          <w:rFonts w:cs="Times New Roman"/>
          <w:b/>
          <w:bCs/>
          <w:noProof/>
          <w:kern w:val="36"/>
          <w:sz w:val="48"/>
          <w:szCs w:val="48"/>
          <w14:ligatures w14:val="none"/>
        </w:rPr>
      </w:pPr>
      <w:r>
        <w:rPr>
          <w:rFonts w:cs="Times New Roman"/>
          <w:b/>
          <w:bCs/>
          <w:noProof/>
          <w:kern w:val="36"/>
          <w:sz w:val="32"/>
          <w:szCs w:val="48"/>
          <w14:ligatures w14:val="none"/>
        </w:rPr>
        <w:t>8. Düzenleyici Otoriteler: Aynı Kurallar, Farklı Uygulamalar</w:t>
      </w:r>
    </w:p>
    <w:p w14:paraId="65633C93"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İlaç düzenleme otoriteleri çoğu zaman aynı uluslararası kılavuzları kullanmaktadır. FDA, EMA, MHRA, PMDA, Health Canada ve TİTCK; ICH rehberlerini, PIC/S GMP standartlarını ve Dünya Sağlık Örgütü'nün temel kalite ilkelerini büyük ölçüde benimsemiştirBu nedenle mevzuat metinleri karşılaştırıldığında ülkeler arasında önemli benzerlikler görülmekte dir ama bazı ülkelerde uygulamalar, mentalite ve baskı gruplarının etkisi farklıdılaç güvenliği yalnızca mevzuatla sağlanamaz, asıl belirleyici olan, bu mevzuatın ne ölçüde uygulanabildiğidir. İşte ülkeler arasındaki gerçek fark burada ortaya çıkmaktadır.</w:t>
      </w:r>
    </w:p>
    <w:p w14:paraId="2B17C55F"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FDA'nın gücü yayımladığı kılavuzlardan değil, bunları uygulayabilecek insan kaynağından, laboratuvar altyapısından ve yaptırım yetkisinden gelmektedir. EMA'nın gücü ise Avrupa'nın ortak </w:t>
      </w:r>
      <w:r>
        <w:rPr>
          <w:rFonts w:cs="Times New Roman"/>
          <w:noProof/>
          <w:kern w:val="0"/>
          <w14:ligatures w14:val="none"/>
        </w:rPr>
        <w:lastRenderedPageBreak/>
        <w:t xml:space="preserve">bilimsel değerlendirme kapasitesi, bağımsız uzman havuzu ve OMCL laboratuvar ağıdır. Düzenleyici otoriteler arasındaki kalite farkını belirleyen esas unsur yazılı kurallar değil; </w:t>
      </w:r>
      <w:r>
        <w:rPr>
          <w:rFonts w:cs="Times New Roman"/>
          <w:bCs/>
          <w:noProof/>
          <w:kern w:val="0"/>
          <w14:ligatures w14:val="none"/>
        </w:rPr>
        <w:t>bilimsel kapasite, denetim sıklığı, laboratuvar gücü ve şeffaflıktır.</w:t>
      </w:r>
    </w:p>
    <w:p w14:paraId="49FB8B8D"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Bu nedenle "bizim mevzuatımız Avrupa ile aynıdır" cümlesi tek başına bir şey ifade etmez ve kalite güvencesinin kanıtı değildir. Türkiye için sorunu anlamak için önce TİTCK nu incelemek gerekir.</w:t>
      </w:r>
    </w:p>
    <w:p w14:paraId="52258959" w14:textId="77777777" w:rsidR="00D86FAE" w:rsidRPr="00D86FAE" w:rsidRDefault="00D86FAE" w:rsidP="00D86FAE">
      <w:pPr>
        <w:spacing w:before="100" w:beforeAutospacing="1" w:after="100" w:afterAutospacing="1" w:line="240" w:lineRule="auto"/>
        <w:rPr>
          <w:rFonts w:cs="Times New Roman"/>
          <w:kern w:val="0"/>
          <w:lang w:val="en-US"/>
          <w14:ligatures w14:val="none"/>
        </w:rPr>
      </w:pPr>
      <w:r>
        <w:rPr>
          <w:rFonts w:cs="Times New Roman"/>
          <w:b/>
          <w:bCs/>
          <w:kern w:val="0"/>
          <w:lang w:val="en-US"/>
          <w14:ligatures w14:val="none"/>
        </w:rPr>
        <w:t>TİTCK: Bağımsızlık, Liyakat ve Yapısal Sorunlar</w:t>
      </w:r>
    </w:p>
    <w:p w14:paraId="0512EF1B" w14:textId="77777777" w:rsidR="00D86FAE" w:rsidRPr="00D86FAE" w:rsidRDefault="00D86FAE" w:rsidP="00D86FAE">
      <w:pPr>
        <w:spacing w:before="100" w:beforeAutospacing="1" w:after="100" w:afterAutospacing="1" w:line="240" w:lineRule="auto"/>
        <w:rPr>
          <w:rFonts w:cs="Times New Roman"/>
          <w:kern w:val="0"/>
          <w:lang w:val="en-US"/>
          <w14:ligatures w14:val="none"/>
        </w:rPr>
      </w:pPr>
      <w:r>
        <w:rPr>
          <w:rFonts w:cs="Times New Roman"/>
          <w:b/>
          <w:bCs/>
          <w:kern w:val="0"/>
          <w:lang w:val="en-US"/>
          <w14:ligatures w14:val="none"/>
        </w:rPr>
        <w:t xml:space="preserve">1. Hukuki Yapı: Bağımsızlık Kâğıt Üzerinde Bile Tam Değil: </w:t>
      </w:r>
      <w:r>
        <w:rPr>
          <w:rFonts w:cs="Times New Roman"/>
          <w:kern w:val="0"/>
          <w:lang w:val="en-US"/>
          <w14:ligatures w14:val="none"/>
        </w:rPr>
        <w:t>TİTCK'ın hukuki statüsü son derece açıktır. TİTCK, Türkiye Cumhuriyeti Sağlık Bakanlığına bağlı olarak görev yapan ve Bakanlık politika ve hedeflerine uygun olarak faaliyet yürüten, özel bütçeli, kamu tüzel kişiliğine haiz bir kamu kurumudur.</w:t>
      </w:r>
    </w:p>
    <w:p w14:paraId="426B9522" w14:textId="77777777" w:rsidR="00D86FAE" w:rsidRPr="00D86FAE" w:rsidRDefault="00D86FAE" w:rsidP="00D86FAE">
      <w:pPr>
        <w:spacing w:before="100" w:beforeAutospacing="1" w:after="100" w:afterAutospacing="1" w:line="240" w:lineRule="auto"/>
        <w:rPr>
          <w:rFonts w:cs="Times New Roman"/>
          <w:kern w:val="0"/>
          <w:lang w:val="en-US"/>
          <w14:ligatures w14:val="none"/>
        </w:rPr>
      </w:pPr>
      <w:r>
        <w:rPr>
          <w:rFonts w:cs="Times New Roman"/>
          <w:kern w:val="0"/>
          <w:lang w:val="en-US"/>
          <w14:ligatures w14:val="none"/>
        </w:rPr>
        <w:t xml:space="preserve">Bu tanımın iki kritik unsuru var. Birincisi "Sağlık Bakanlığına </w:t>
      </w:r>
      <w:r>
        <w:rPr>
          <w:rFonts w:cs="Times New Roman"/>
          <w:b/>
          <w:bCs/>
          <w:kern w:val="0"/>
          <w:lang w:val="en-US"/>
          <w14:ligatures w14:val="none"/>
        </w:rPr>
        <w:t>bağlı</w:t>
      </w:r>
      <w:r>
        <w:rPr>
          <w:rFonts w:cs="Times New Roman"/>
          <w:kern w:val="0"/>
          <w:lang w:val="en-US"/>
          <w14:ligatures w14:val="none"/>
        </w:rPr>
        <w:t xml:space="preserve">" bu, EMA'nın Avrupa Komisyonu'ndan ayrı bir tüzel kişilik olarak işleyişiyle doğrudan çelişir. EMA kendi bütçesini yönetir, başkanını bilimsel kriterlere göre seçer ve kararları Komisyon'dan bağımsız olarak alır. TİTCK'ta bu kurumsal özerklik mevcut değildir. İkincisi "Bakanlık politika ve hedeflerine </w:t>
      </w:r>
      <w:r>
        <w:rPr>
          <w:rFonts w:cs="Times New Roman"/>
          <w:b/>
          <w:bCs/>
          <w:kern w:val="0"/>
          <w:lang w:val="en-US"/>
          <w14:ligatures w14:val="none"/>
        </w:rPr>
        <w:t>uygun</w:t>
      </w:r>
      <w:r>
        <w:rPr>
          <w:rFonts w:cs="Times New Roman"/>
          <w:kern w:val="0"/>
          <w:lang w:val="en-US"/>
          <w14:ligatures w14:val="none"/>
        </w:rPr>
        <w:t xml:space="preserve"> olarak" bu ifade, ruhsatlandırma kararlarının teorik olarak siyasi önceliklere tabi olabileceğini anayasal düzeyde meşrulaştırmaktadır. Yıllar boyunca politik baskılarla neler yapıldığını yakından izledik. 1972 yılında opşyum tentürü içeren bir ilacın ruhsatını iptal ettiğimizde konunun hükümet krizine kadar gittiğine bizzat şahit olmuştum.</w:t>
      </w:r>
    </w:p>
    <w:p w14:paraId="34450747" w14:textId="77777777" w:rsidR="00D86FAE" w:rsidRPr="00D86FAE" w:rsidRDefault="00D86FAE" w:rsidP="00D86FAE">
      <w:pPr>
        <w:spacing w:before="100" w:beforeAutospacing="1" w:after="100" w:afterAutospacing="1" w:line="240" w:lineRule="auto"/>
        <w:rPr>
          <w:rFonts w:cs="Times New Roman"/>
          <w:kern w:val="0"/>
          <w:lang w:val="en-US"/>
          <w14:ligatures w14:val="none"/>
        </w:rPr>
      </w:pPr>
      <w:r>
        <w:rPr>
          <w:rFonts w:cs="Times New Roman"/>
          <w:kern w:val="0"/>
          <w:lang w:val="en-US"/>
          <w14:ligatures w14:val="none"/>
        </w:rPr>
        <w:t>Kararname'nin 506'ncı maddesinde TİTCK'ın Sağlık Bakanlığının politika ve hedeflerine uygun olarak faaliyet yürüteceği hükmü yer almaktadır. Bu tek cümle, "bilimsel bağımsızlık" iddiasının hukuki zeminini ortadan kaldırmaktadır.</w:t>
      </w:r>
    </w:p>
    <w:p w14:paraId="57350509" w14:textId="77777777" w:rsidR="00D86FAE" w:rsidRDefault="00D86FAE" w:rsidP="007755E8">
      <w:pPr>
        <w:spacing w:before="100" w:beforeAutospacing="1" w:after="100" w:afterAutospacing="1" w:line="240" w:lineRule="auto"/>
        <w:rPr>
          <w:rFonts w:cs="Times New Roman"/>
          <w:kern w:val="0"/>
          <w:lang w:val="en-US"/>
          <w14:ligatures w14:val="none"/>
        </w:rPr>
      </w:pPr>
      <w:r>
        <w:rPr>
          <w:rFonts w:cs="Times New Roman"/>
          <w:b/>
          <w:bCs/>
          <w:kern w:val="0"/>
          <w:lang w:val="en-US"/>
          <w14:ligatures w14:val="none"/>
        </w:rPr>
        <w:t xml:space="preserve">Başkan Nasıl Atanır? </w:t>
      </w:r>
      <w:r>
        <w:rPr>
          <w:rFonts w:cs="Times New Roman"/>
          <w:kern w:val="0"/>
          <w:lang w:val="en-US"/>
          <w14:ligatures w14:val="none"/>
        </w:rPr>
        <w:t>TİTCK Başkanı, 4 sayılı Cumhurbaşkanlığı Kararnamesi'yle düzenlenen çerçevede Sağlık Bakanının teklifi üzerine atanmaktadır. Başkanın görev süresi, görevden alınma kriterleri ve bilimsel özgeçmiş gereklilikleri kamuya açık biçimde tanımlanmış değildir. EMA'da CHMP başkanının seçimi üye devletlerin uzman ağı tarafından şeffaf kriterlere göre yapılırken, TİTCK başkanlığı siyasi atama mekanizmasına tabidir. Başkanlar çok kısa sürelerde değişebilmekte, bir-kaç ay başkanlık yapanlar bile mevcuttur. Atamalarda genellikle liyakat aranmaz.</w:t>
      </w:r>
    </w:p>
    <w:p w14:paraId="280F06BC" w14:textId="77777777" w:rsidR="00F7400F" w:rsidRPr="00F7400F" w:rsidRDefault="00F7400F" w:rsidP="007755E8">
      <w:pPr>
        <w:spacing w:before="100" w:beforeAutospacing="1" w:after="100" w:afterAutospacing="1" w:line="240" w:lineRule="auto"/>
        <w:rPr>
          <w:rFonts w:cs="Times New Roman"/>
          <w:i/>
          <w:iCs/>
          <w:color w:val="4C94D8" w:themeColor="text2" w:themeTint="80"/>
          <w:kern w:val="0"/>
          <w:lang w:val="en-US"/>
          <w14:ligatures w14:val="none"/>
        </w:rPr>
      </w:pPr>
      <w:r>
        <w:rPr>
          <w:rFonts w:cs="Times New Roman"/>
          <w:i/>
          <w:iCs/>
          <w:color w:val="4C94D8" w:themeColor="text2" w:themeTint="80"/>
          <w:kern w:val="0"/>
          <w:lang w:val="en-US"/>
          <w14:ligatures w14:val="none"/>
        </w:rPr>
        <w:t>TİTCK başkanlık sistemi için: https://klinikfarmakoloji.com/aci-ilac/titck-baskanlari-neden-degisiyor</w:t>
      </w:r>
    </w:p>
    <w:p w14:paraId="63821351" w14:textId="77777777" w:rsidR="00D86FAE" w:rsidRPr="00D86FAE" w:rsidRDefault="00D86FAE" w:rsidP="00D86FAE">
      <w:pPr>
        <w:spacing w:before="100" w:beforeAutospacing="1" w:after="100" w:afterAutospacing="1" w:line="240" w:lineRule="auto"/>
        <w:rPr>
          <w:rFonts w:cs="Times New Roman"/>
          <w:kern w:val="0"/>
          <w:lang w:val="en-US"/>
          <w14:ligatures w14:val="none"/>
        </w:rPr>
      </w:pPr>
      <w:r>
        <w:rPr>
          <w:rFonts w:cs="Times New Roman"/>
          <w:b/>
          <w:bCs/>
          <w:kern w:val="0"/>
          <w:lang w:val="en-US"/>
          <w14:ligatures w14:val="none"/>
        </w:rPr>
        <w:t>2. Kurumsal Bağımsızlık: Yapısal Çatışmalar: TİTCK'ın aynı anda birbirleriyle çatışan rolleri üstlenmesi</w:t>
      </w:r>
      <w:r>
        <w:rPr>
          <w:rFonts w:cs="Times New Roman"/>
          <w:kern w:val="0"/>
          <w:lang w:val="en-US"/>
          <w14:ligatures w14:val="none"/>
        </w:rPr>
        <w:t xml:space="preserve"> en temel yapısal sorunudur.</w:t>
      </w:r>
    </w:p>
    <w:p w14:paraId="102BED09" w14:textId="77777777" w:rsidR="00D86FAE" w:rsidRPr="00D86FAE" w:rsidRDefault="00D86FAE" w:rsidP="00D86FAE">
      <w:pPr>
        <w:spacing w:before="100" w:beforeAutospacing="1" w:after="100" w:afterAutospacing="1" w:line="240" w:lineRule="auto"/>
        <w:rPr>
          <w:rFonts w:cs="Times New Roman"/>
          <w:kern w:val="0"/>
          <w:lang w:val="en-US"/>
          <w14:ligatures w14:val="none"/>
        </w:rPr>
      </w:pPr>
      <w:r>
        <w:rPr>
          <w:rFonts w:cs="Times New Roman"/>
          <w:kern w:val="0"/>
          <w:lang w:val="en-US"/>
          <w14:ligatures w14:val="none"/>
        </w:rPr>
        <w:t>TİTCK hem ilaç ruhsatlandırır hem fiyatı belirler hem sektörü denetler hem de aynı sektörün büyümesini teşvik etmekle görevlidir. Kurumun görevleri arasında piyasa gözlem raporu hazırlamak, sağlık endüstrileri ile ilgili programların koordinasyonu, ilaç sektörü strateji belgelerinin takibi ve Sağlık Endüstrisi Yönlendirme Komitesi sekretaryası yer almaktadır.</w:t>
      </w:r>
    </w:p>
    <w:p w14:paraId="00312740" w14:textId="77777777" w:rsidR="00D86FAE" w:rsidRPr="00D86FAE" w:rsidRDefault="00D86FAE" w:rsidP="00D86FAE">
      <w:pPr>
        <w:spacing w:before="100" w:beforeAutospacing="1" w:after="100" w:afterAutospacing="1" w:line="240" w:lineRule="auto"/>
        <w:rPr>
          <w:rFonts w:cs="Times New Roman"/>
          <w:kern w:val="0"/>
          <w:lang w:val="en-US"/>
          <w14:ligatures w14:val="none"/>
        </w:rPr>
      </w:pPr>
      <w:r>
        <w:rPr>
          <w:rFonts w:cs="Times New Roman"/>
          <w:kern w:val="0"/>
          <w:lang w:val="en-US"/>
          <w14:ligatures w14:val="none"/>
        </w:rPr>
        <w:lastRenderedPageBreak/>
        <w:t>Yani TİTCK, bir yanda ilaç firmalarını denetleyen düzenleyici otorite iken diğer yanda aynı firmaların ihracat ve yatırım teşvik süreçlerinde aktif destekçi konumundadır. Bu yapısal çatışmayı FDA veya EMA'da görmek mümkün değildir.</w:t>
      </w:r>
    </w:p>
    <w:p w14:paraId="78BB5F78" w14:textId="77777777" w:rsidR="00D86FAE" w:rsidRPr="00D86FAE" w:rsidRDefault="00D86FAE" w:rsidP="00711219">
      <w:pPr>
        <w:spacing w:before="100" w:beforeAutospacing="1" w:after="100" w:afterAutospacing="1" w:line="240" w:lineRule="auto"/>
        <w:rPr>
          <w:rFonts w:cs="Times New Roman"/>
          <w:kern w:val="0"/>
          <w:lang w:val="en-US"/>
          <w14:ligatures w14:val="none"/>
        </w:rPr>
      </w:pPr>
      <w:r>
        <w:rPr>
          <w:rFonts w:cs="Times New Roman"/>
          <w:b/>
          <w:bCs/>
          <w:kern w:val="0"/>
          <w:lang w:val="en-US"/>
          <w14:ligatures w14:val="none"/>
        </w:rPr>
        <w:t xml:space="preserve">İç Denetim Mekanizması: </w:t>
      </w:r>
      <w:r>
        <w:rPr>
          <w:rFonts w:cs="Times New Roman"/>
          <w:kern w:val="0"/>
          <w:lang w:val="en-US"/>
          <w14:ligatures w14:val="none"/>
        </w:rPr>
        <w:t>2022 yılı Sayıştay Denetim Raporu'nda iç denetim biriminin üç kadrosundan yalnızca üçünün dolu old::uğu, Sayıştay'ın ise herhangi bir denetim bulgusu tespit etmediği belirtilmiştir. "Herhangi bir denetim bulgusu tespit edilmemiştir" ifadesi iki şekilde yorumlanabilir: ya kurum gerçekten hatasız işliyor ya da denetim yüzeyi çok sığdır. 15.000–17.000 ruhsatlı ürünü, yurt içi ve yurt dışı yüzlerce üretim tesisini, piyasa sonrası gözetimi ve ruhsatlandırma kararlarının bilimsel gerekçelerini aynı anda denetleyebilecek kapasiteden bahsedilmiyorsa "bulgu yok" sonucu şüpheyle karşılanmalıdır.:</w:t>
      </w:r>
    </w:p>
    <w:p w14:paraId="474A78A7" w14:textId="77777777" w:rsidR="00D86FAE" w:rsidRPr="00D86FAE" w:rsidRDefault="00D86FAE" w:rsidP="00D86FAE">
      <w:pPr>
        <w:spacing w:before="100" w:beforeAutospacing="1" w:after="100" w:afterAutospacing="1" w:line="240" w:lineRule="auto"/>
        <w:rPr>
          <w:rFonts w:cs="Times New Roman"/>
          <w:kern w:val="0"/>
          <w:lang w:val="en-US"/>
          <w14:ligatures w14:val="none"/>
        </w:rPr>
      </w:pPr>
      <w:r>
        <w:rPr>
          <w:rFonts w:cs="Times New Roman"/>
          <w:b/>
          <w:bCs/>
          <w:kern w:val="0"/>
          <w:lang w:val="en-US"/>
          <w14:ligatures w14:val="none"/>
        </w:rPr>
        <w:t xml:space="preserve">3. Kadro ve Liyakat: Sayılar ve Yapı: </w:t>
      </w:r>
      <w:r>
        <w:rPr>
          <w:rFonts w:cs="Times New Roman"/>
          <w:kern w:val="0"/>
          <w:lang w:val="en-US"/>
          <w14:ligatures w14:val="none"/>
        </w:rPr>
        <w:t>TİTCK nun kadro ve bütçesinden üst satırlarda bahsetmiştik. TİTCK nun bugünki kadrosu, kurumun üstlendiği görev yelpazesiyle kıyaslandığında ciddi bir yetersizliğe işaret etmektedir. TİTCK beşeri tıbbi ürün, tıbbi cihaz, özel tıbbi amaçlı gıdalar, biyosidal ve kozmetik ürünlere yönelik düzenleyici, denetleyici ve yönlendirici faaliyetler yürütmektedir. EMA yalnızca ilaç ve biyolojik ürünlere odaklanarak 2024'te 1.100 personelle çalışırken, TİTCK çok daha geniş bir ürün yelpazesini 1.000 kişiyle yönetmeye çalışmaktadır.</w:t>
      </w:r>
    </w:p>
    <w:p w14:paraId="0F0382B3" w14:textId="77777777" w:rsidR="00D86FAE" w:rsidRPr="00D86FAE" w:rsidRDefault="00D86FAE" w:rsidP="00D86FAE">
      <w:pPr>
        <w:spacing w:before="100" w:beforeAutospacing="1" w:after="100" w:afterAutospacing="1" w:line="240" w:lineRule="auto"/>
        <w:rPr>
          <w:rFonts w:cs="Times New Roman"/>
          <w:kern w:val="0"/>
          <w:lang w:val="en-US"/>
          <w14:ligatures w14:val="none"/>
        </w:rPr>
      </w:pPr>
      <w:r>
        <w:rPr>
          <w:rFonts w:cs="Times New Roman"/>
          <w:b/>
          <w:bCs/>
          <w:kern w:val="0"/>
          <w:lang w:val="en-US"/>
          <w14:ligatures w14:val="none"/>
        </w:rPr>
        <w:t xml:space="preserve">Liyakat meselesi iki boyutta ele alınmalıdır: </w:t>
      </w:r>
      <w:r>
        <w:rPr>
          <w:rFonts w:cs="Times New Roman"/>
          <w:kern w:val="0"/>
          <w:lang w:val="en-US"/>
          <w14:ligatures w14:val="none"/>
        </w:rPr>
        <w:t>Olumlu boyut: TİTCK'a eczacı unvanlı personel alımında yabancı dil yeterliliği ve Analitik Kimya, Biyofarmasötik ve Farmakokinetik, Farmasötik Kimya, Farmakoloji, Farmakognozi, Farmasötik Toksikoloji gibi alanlarda yüksek lisans veya doktora şartı aranmaktadır. Bu gereklilik olumludur ve kurumun teknik personel için gerçekten nitelikli adaylar aradığını gösterir.</w:t>
      </w:r>
    </w:p>
    <w:p w14:paraId="14B9D350" w14:textId="77777777" w:rsidR="00D86FAE" w:rsidRPr="00D86FAE" w:rsidRDefault="00D86FAE" w:rsidP="00711219">
      <w:pPr>
        <w:spacing w:before="100" w:beforeAutospacing="1" w:after="100" w:afterAutospacing="1" w:line="240" w:lineRule="auto"/>
        <w:rPr>
          <w:rFonts w:cs="Times New Roman"/>
          <w:kern w:val="0"/>
          <w:lang w:val="en-US"/>
          <w14:ligatures w14:val="none"/>
        </w:rPr>
      </w:pPr>
      <w:r>
        <w:rPr>
          <w:rFonts w:cs="Times New Roman"/>
          <w:kern w:val="0"/>
          <w:lang w:val="en-US"/>
          <w14:ligatures w14:val="none"/>
        </w:rPr>
        <w:t>Sorunlu boyut: Uzman kadroların KPSS puanına dayalı yerleştirme sistemiyle doldurulması, sektörel uzmanlığın liyakatin belirleyici kriteri olmasını engellemektedir. KPSS-2025/1 yerleştirme işlemleri kapsamında TİTCK kadro ve pozisyonlarına yerleşen adayların atama işlemleri yürütülmüştür. Farmakokinetik uzmanlık gerektiren bir ruhsatlandırma pozisyonu, KPSS puanı yüksek bir hukuk veya iktisat mezunuyla doldurulabilmektedir. Bu yapı EMA'nın bilimsel uzman seçim süreciyle karşılaştırıldığında temelden farklıdır.</w:t>
      </w:r>
    </w:p>
    <w:p w14:paraId="37EC6613" w14:textId="77777777" w:rsidR="00D86FAE" w:rsidRPr="00D86FAE" w:rsidRDefault="00D86FAE" w:rsidP="00D86FAE">
      <w:pPr>
        <w:spacing w:before="100" w:beforeAutospacing="1" w:after="100" w:afterAutospacing="1" w:line="240" w:lineRule="auto"/>
        <w:rPr>
          <w:rFonts w:cs="Times New Roman"/>
          <w:kern w:val="0"/>
          <w:lang w:val="en-US"/>
          <w14:ligatures w14:val="none"/>
        </w:rPr>
      </w:pPr>
      <w:r>
        <w:rPr>
          <w:rFonts w:cs="Times New Roman"/>
          <w:b/>
          <w:bCs/>
          <w:kern w:val="0"/>
          <w:lang w:val="en-US"/>
          <w14:ligatures w14:val="none"/>
        </w:rPr>
        <w:t xml:space="preserve">4. Sanayi Etkisi: Belgelenmiş ve Yapısal: </w:t>
      </w:r>
      <w:r>
        <w:rPr>
          <w:rFonts w:cs="Times New Roman"/>
          <w:kern w:val="0"/>
          <w:lang w:val="en-US"/>
          <w14:ligatures w14:val="none"/>
        </w:rPr>
        <w:t xml:space="preserve">TİTCK nun </w:t>
      </w:r>
      <w:r>
        <w:rPr>
          <w:rFonts w:cs="Times New Roman"/>
          <w:b/>
          <w:bCs/>
          <w:kern w:val="0"/>
          <w:lang w:val="en-US"/>
          <w14:ligatures w14:val="none"/>
        </w:rPr>
        <w:t>yapısal çıkar çatışması</w:t>
      </w:r>
      <w:r>
        <w:rPr>
          <w:rFonts w:cs="Times New Roman"/>
          <w:kern w:val="0"/>
          <w:lang w:val="en-US"/>
          <w14:ligatures w14:val="none"/>
        </w:rPr>
        <w:t xml:space="preserve"> çok daha kapsamlı ve belgelenmiş bir sorundur. Tarafımızdan</w:t>
      </w:r>
    </w:p>
    <w:p w14:paraId="0314C1B8" w14:textId="77777777" w:rsidR="00D86FAE" w:rsidRPr="00D86FAE" w:rsidRDefault="00D86FAE" w:rsidP="00D86FAE">
      <w:pPr>
        <w:spacing w:before="100" w:beforeAutospacing="1" w:after="100" w:afterAutospacing="1" w:line="240" w:lineRule="auto"/>
        <w:rPr>
          <w:rFonts w:cs="Times New Roman"/>
          <w:kern w:val="0"/>
          <w:lang w:val="en-US"/>
          <w14:ligatures w14:val="none"/>
        </w:rPr>
      </w:pPr>
      <w:r>
        <w:rPr>
          <w:rFonts w:cs="Times New Roman"/>
          <w:kern w:val="0"/>
          <w:lang w:val="en-US"/>
          <w14:ligatures w14:val="none"/>
        </w:rPr>
        <w:t>Prof. Tulunay'ın 2005'te kamuoyuna yönelttiği soru bugün hâlâ yanıtsızdır: Sağlık Bakanlığı'nda komisyon üyeliği yapan bazı kişilerin ardından ilaç firmalarında danışmanlık görevine başladığı bilinen olgudur. Portatif jeneratör olamdığı için (!) Ankara Tıp Fakültesinde yapmakta olduğumuz Türkiyenin ilk biyoyararlanım/biyoeşdeğerlik laboratuvarını kapatarak biyoyararlanım araştırmalarımızı durduran İEGM Genel Müdürü'nün daha sonra Türkiye İlaç Sanayii Derneği Genel Sekreteri olması bu örüntünün belgelenmiş örneğidir.</w:t>
      </w:r>
    </w:p>
    <w:p w14:paraId="4E586903" w14:textId="77777777" w:rsidR="00D86FAE" w:rsidRPr="00D86FAE" w:rsidRDefault="00D86FAE" w:rsidP="00DD274C">
      <w:pPr>
        <w:spacing w:before="100" w:beforeAutospacing="1" w:after="100" w:afterAutospacing="1" w:line="240" w:lineRule="auto"/>
        <w:rPr>
          <w:rFonts w:cs="Times New Roman"/>
          <w:kern w:val="0"/>
          <w:lang w:val="en-US"/>
          <w14:ligatures w14:val="none"/>
        </w:rPr>
      </w:pPr>
      <w:r>
        <w:rPr>
          <w:rFonts w:cs="Times New Roman"/>
          <w:kern w:val="0"/>
          <w:lang w:val="en-US"/>
          <w14:ligatures w14:val="none"/>
        </w:rPr>
        <w:t xml:space="preserve">TİTCK'ın kendi misyon belgesinde yer alan "bilimsellik, bağımsızlık, tarafsızlık" ifadelerine rağmen kurumun uluslararası platformlarda "dünyanın önde gelen ilaç otoriteleri arasındaki yerini aldığı" yönündeki kurumsal söylem, yapısal sorunları örtbas etmekten öteye geçemez. </w:t>
      </w:r>
      <w:r>
        <w:rPr>
          <w:rFonts w:cs="Times New Roman"/>
          <w:kern w:val="0"/>
          <w:lang w:val="en-US"/>
          <w14:ligatures w14:val="none"/>
        </w:rPr>
        <w:lastRenderedPageBreak/>
        <w:t>Çünkü: BY/BE komisyon üyelerinin isimleri, nitelikleri ve çıkar çatışması beyanları kamuoyuyla paylaşılmamaktadır. Hangi başvuruların reddedildiği ve gerekçeleri kamuoyuyla paylaşılmamaktadır. Efervesan tablet muafiyeti, "bilgilendirilmiş muvafakat" ve 16(f) muafiyet uygulamalarında hangi kararların kimin tarafından, hangi bilimsel gerekçeyle alındığı kamuoyuyla paylaşılmamaktadır.</w:t>
      </w:r>
    </w:p>
    <w:p w14:paraId="30C188A3" w14:textId="77777777" w:rsidR="00D86FAE" w:rsidRPr="00D86FAE" w:rsidRDefault="00D86FAE" w:rsidP="00D402DB">
      <w:pPr>
        <w:spacing w:before="100" w:beforeAutospacing="1" w:after="100" w:afterAutospacing="1" w:line="240" w:lineRule="auto"/>
        <w:rPr>
          <w:rFonts w:cs="Times New Roman"/>
          <w:kern w:val="0"/>
          <w:lang w:val="en-US"/>
          <w14:ligatures w14:val="none"/>
        </w:rPr>
      </w:pPr>
      <w:r>
        <w:rPr>
          <w:rFonts w:cs="Times New Roman"/>
          <w:b/>
          <w:bCs/>
          <w:kern w:val="0"/>
          <w:lang w:val="en-US"/>
          <w14:ligatures w14:val="none"/>
        </w:rPr>
        <w:t xml:space="preserve">5. Bütçe: Kapasite ile Görev Arasındaki Uçurum: </w:t>
      </w:r>
      <w:r>
        <w:rPr>
          <w:rFonts w:cs="Times New Roman"/>
          <w:kern w:val="0"/>
          <w:lang w:val="en-US"/>
          <w14:ligatures w14:val="none"/>
        </w:rPr>
        <w:t xml:space="preserve">TİTCK’in tüm bütçesi EMA nın yalnız ilaç denetleme bütçesinin beşte birinden azdır. TİTCK ise bu bütçe ile  kozmetik, biyosidal, tıbbi cihaz ve gıda takviyelerini de kapsar. Tam anlamıyla ‘’ne kadar ekmek o kadar köfte’’ veya </w:t>
      </w:r>
      <w:r>
        <w:t xml:space="preserve"> "You get what you pay for"</w:t>
      </w:r>
    </w:p>
    <w:p w14:paraId="0BA398F4" w14:textId="77777777" w:rsidR="00D86FAE" w:rsidRPr="00D86FAE" w:rsidRDefault="00D86FAE" w:rsidP="00D86FAE">
      <w:pPr>
        <w:spacing w:before="100" w:beforeAutospacing="1" w:after="100" w:afterAutospacing="1" w:line="240" w:lineRule="auto"/>
        <w:rPr>
          <w:rFonts w:cs="Times New Roman"/>
          <w:kern w:val="0"/>
          <w:lang w:val="en-US"/>
          <w14:ligatures w14:val="none"/>
        </w:rPr>
      </w:pPr>
      <w:r>
        <w:rPr>
          <w:rFonts w:cs="Times New Roman"/>
          <w:b/>
          <w:bCs/>
          <w:kern w:val="0"/>
          <w:lang w:val="en-US"/>
          <w14:ligatures w14:val="none"/>
        </w:rPr>
        <w:t xml:space="preserve">Sonuç: TİTCK'a Tam Bağımsız Bir Kurum Denilebilir mi? </w:t>
      </w:r>
      <w:r>
        <w:rPr>
          <w:rFonts w:cs="Times New Roman"/>
          <w:kern w:val="0"/>
          <w:lang w:val="en-US"/>
          <w14:ligatures w14:val="none"/>
        </w:rPr>
        <w:t xml:space="preserve">Hayır. Hem hukuki yapısı hem kurumsal tasarımı hem de kapasitesi bu tanımı karşılamamaktadır. Yapısal bağımlılık Sağlık Bakanlı 2in ı'na; ideolojik bağımlılık sektörü büyütme hedefine; kapasite kısıtı ise yetersiz bütçe ve personele dayanmaktadır. Rüşvet veya bireysel yolsuzluk iddiaları doğrulanmış kamu kaydıyla mevcut değildir ve bu nedenle tartışma dışında tuttuk ama </w:t>
      </w:r>
      <w:r>
        <w:rPr>
          <w:rFonts w:cs="Times New Roman"/>
          <w:b/>
          <w:bCs/>
          <w:kern w:val="0"/>
          <w:lang w:val="en-US"/>
          <w14:ligatures w14:val="none"/>
        </w:rPr>
        <w:t>sistem tasarımından kaynaklanan yapısal bağımlılık</w:t>
      </w:r>
      <w:r>
        <w:rPr>
          <w:rFonts w:cs="Times New Roman"/>
          <w:kern w:val="0"/>
          <w:lang w:val="en-US"/>
          <w14:ligatures w14:val="none"/>
        </w:rPr>
        <w:t>, bireysel yolsuzluktan çok daha kalıcı ve derin bir sorundur — çünkü kimseyi suçlamadan işler ve kurumsal norm haline gelir.</w:t>
      </w:r>
    </w:p>
    <w:p w14:paraId="1E2F83E9" w14:textId="77777777" w:rsidR="00D86FAE" w:rsidRPr="00754EC9" w:rsidRDefault="00B2041B" w:rsidP="00870B5E">
      <w:pPr>
        <w:spacing w:before="100" w:beforeAutospacing="1" w:after="100" w:afterAutospacing="1" w:line="240" w:lineRule="auto"/>
        <w:rPr>
          <w:rFonts w:cs="Times New Roman"/>
          <w:noProof/>
          <w:kern w:val="0"/>
          <w14:ligatures w14:val="none"/>
        </w:rPr>
      </w:pPr>
      <w:r>
        <w:rPr>
          <w:rFonts w:cs="Times New Roman"/>
          <w:noProof/>
          <w:kern w:val="0"/>
          <w14:ligatures w14:val="none"/>
        </w:rPr>
        <w:t xml:space="preserve">(bu konuda daha önce yazmış olduğum bazı yazılara: </w:t>
      </w:r>
      <w:hyperlink r:id="rId6" w:history="1">
        <w:r>
          <w:rPr>
            <w:rStyle w:val="Hyperlink"/>
            <w:rFonts w:cs="Times New Roman"/>
            <w:i/>
            <w:iCs/>
            <w:noProof/>
            <w:color w:val="4C94D8" w:themeColor="text2" w:themeTint="80"/>
            <w:kern w:val="0"/>
            <w14:ligatures w14:val="none"/>
          </w:rPr>
          <w:t>https://klinikfarmakoloji.com/search/node?keys=ila%C3%A7ta+kalite</w:t>
        </w:r>
      </w:hyperlink>
      <w:r>
        <w:rPr>
          <w:rFonts w:cs="Times New Roman"/>
          <w:i/>
          <w:iCs/>
          <w:noProof/>
          <w:color w:val="4C94D8" w:themeColor="text2" w:themeTint="80"/>
          <w:kern w:val="0"/>
          <w14:ligatures w14:val="none"/>
        </w:rPr>
        <w:t xml:space="preserve"> linkinden erişilebilir)</w:t>
      </w:r>
    </w:p>
    <w:p w14:paraId="1FE44F1F" w14:textId="77777777" w:rsidR="0007071B" w:rsidRPr="00870B5E" w:rsidRDefault="0007071B" w:rsidP="00870B5E">
      <w:pPr>
        <w:spacing w:before="100" w:beforeAutospacing="1" w:after="100" w:afterAutospacing="1" w:line="240" w:lineRule="auto"/>
        <w:jc w:val="both"/>
        <w:outlineLvl w:val="0"/>
        <w:rPr>
          <w:rFonts w:cs="Times New Roman"/>
          <w:b/>
          <w:bCs/>
          <w:noProof/>
          <w:kern w:val="36"/>
          <w:sz w:val="48"/>
          <w:szCs w:val="48"/>
          <w14:ligatures w14:val="none"/>
        </w:rPr>
      </w:pPr>
      <w:r>
        <w:rPr>
          <w:rFonts w:cs="Times New Roman"/>
          <w:b/>
          <w:bCs/>
          <w:noProof/>
          <w:kern w:val="36"/>
          <w:sz w:val="32"/>
          <w:szCs w:val="48"/>
          <w14:ligatures w14:val="none"/>
        </w:rPr>
        <w:t>8.1 FDA, EMA, MHRA ve TİTCK'nin Jenerik İlaçlara Yaklaşımının Karşılaştırmalı Analizi</w:t>
      </w:r>
    </w:p>
    <w:p w14:paraId="14BC2B0F" w14:textId="77777777" w:rsidR="0007071B" w:rsidRPr="00754EC9" w:rsidRDefault="0007071B"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Jenerik ilaçlar hakkında yürütülen tartışmalarda en sık karşılaşılan yanlış yaklaşımlardan biri, düzenleyici otoritelerin tamamen farklı bilimsel standartlar kullandığının düşünülmesidir. Gerçekte ise modern ilaç düzenleme sistemleri, özellikle son yirmi yıl içerisinde giderek artan ölçüde uluslararası uyum (harmonisation) sürecinden geçmiştir.</w:t>
      </w:r>
    </w:p>
    <w:p w14:paraId="11CCAD47" w14:textId="77777777" w:rsidR="0007071B" w:rsidRPr="00754EC9" w:rsidRDefault="0007071B"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Bugün FDA (Amerika Birleşik Devletleri), EMA (Avrupa Birliği), MHRA (Birleşik Krallık) ve Türkiye İlaç ve Tıbbi Cihaz Kurumu (TİTCK), biyoeşdeğerlik değerlendirmelerinde büyük ölçüde aynı bilimsel prensiplere dayanmaktadır. Bunun temel nedeni, </w:t>
      </w:r>
      <w:r>
        <w:rPr>
          <w:rFonts w:cs="Times New Roman"/>
          <w:bCs/>
          <w:noProof/>
          <w:kern w:val="0"/>
          <w14:ligatures w14:val="none"/>
        </w:rPr>
        <w:t>ICH (International Council for Harmonisation)</w:t>
      </w:r>
      <w:r>
        <w:rPr>
          <w:rFonts w:cs="Times New Roman"/>
          <w:noProof/>
          <w:kern w:val="0"/>
          <w14:ligatures w14:val="none"/>
        </w:rPr>
        <w:t xml:space="preserve"> rehberleri, </w:t>
      </w:r>
      <w:r>
        <w:rPr>
          <w:rFonts w:cs="Times New Roman"/>
          <w:bCs/>
          <w:noProof/>
          <w:kern w:val="0"/>
          <w14:ligatures w14:val="none"/>
        </w:rPr>
        <w:t>PIC/S GMP</w:t>
      </w:r>
      <w:r>
        <w:rPr>
          <w:rFonts w:cs="Times New Roman"/>
          <w:noProof/>
          <w:kern w:val="0"/>
          <w14:ligatures w14:val="none"/>
        </w:rPr>
        <w:t xml:space="preserve"> standartları ve Dünya Sağlık Örgütü'nün kalite ilkelerinin giderek küresel ortak dil haline gelmesidir. Özellikle </w:t>
      </w:r>
      <w:r>
        <w:rPr>
          <w:rFonts w:cs="Times New Roman"/>
          <w:bCs/>
          <w:noProof/>
          <w:kern w:val="0"/>
          <w14:ligatures w14:val="none"/>
        </w:rPr>
        <w:t>ICH M9</w:t>
      </w:r>
      <w:r>
        <w:rPr>
          <w:rFonts w:cs="Times New Roman"/>
          <w:noProof/>
          <w:kern w:val="0"/>
          <w14:ligatures w14:val="none"/>
        </w:rPr>
        <w:t xml:space="preserve"> (BCS temelli biyomuafiyet) ve biyoeşdeğerlik rehberleri bu uyumun en önemli örnekleridir. </w:t>
      </w:r>
    </w:p>
    <w:p w14:paraId="74203390" w14:textId="77777777" w:rsidR="0007071B" w:rsidRPr="00754EC9" w:rsidRDefault="0007071B" w:rsidP="00870B5E">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Ancak ortak bilimsel çerçeve bulunmasına rağmen, bu kurumların öncelikleri, uygulama biçimleri, şeffaflık düzeyleri ve denetim kültürleri arasında önemli farklılıklar bulunmaktadır. Bu farklılıklar, jenerik ilaçların geliştirilmesi, ruhsatlandırılması ve piyasa sonrası izlenmesi üzerinde doğrudan etkili olmaktadır. Dolayısıyla düzenleyici sistemlerin karşılaştırılması yalnızca akademik bir egzersiz değildir; aynı zamanda kalite güvencesinin hangi kurumsal yaklaşımlarla güçlendirildiğini anlamak açısından da önemlidir.</w:t>
      </w:r>
    </w:p>
    <w:p w14:paraId="1267130D" w14:textId="77777777" w:rsidR="0007071B" w:rsidRPr="00754EC9" w:rsidRDefault="0007071B" w:rsidP="00754EC9">
      <w:pPr>
        <w:spacing w:before="100" w:beforeAutospacing="1" w:after="100" w:afterAutospacing="1" w:line="240" w:lineRule="auto"/>
        <w:jc w:val="both"/>
        <w:outlineLvl w:val="0"/>
        <w:rPr>
          <w:rFonts w:cs="Times New Roman"/>
          <w:b/>
          <w:bCs/>
          <w:noProof/>
          <w:kern w:val="36"/>
          <w:sz w:val="48"/>
          <w:szCs w:val="48"/>
          <w14:ligatures w14:val="none"/>
        </w:rPr>
      </w:pPr>
      <w:r>
        <w:rPr>
          <w:rFonts w:cs="Times New Roman"/>
          <w:b/>
          <w:bCs/>
          <w:noProof/>
          <w:kern w:val="36"/>
          <w:sz w:val="28"/>
          <w:szCs w:val="48"/>
          <w14:ligatures w14:val="none"/>
        </w:rPr>
        <w:t>8.1.1 FDA Yaklaşımı:</w:t>
      </w:r>
    </w:p>
    <w:p w14:paraId="1752973E" w14:textId="77777777" w:rsidR="0007071B" w:rsidRPr="00754EC9" w:rsidRDefault="0007071B"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lastRenderedPageBreak/>
        <w:t xml:space="preserve">FDA'nın jenerik ilaç politikası </w:t>
      </w:r>
      <w:r>
        <w:rPr>
          <w:rFonts w:cs="Times New Roman"/>
          <w:bCs/>
          <w:noProof/>
          <w:kern w:val="0"/>
          <w14:ligatures w14:val="none"/>
        </w:rPr>
        <w:t>ANDA (Abbreviated New Drug Application)</w:t>
      </w:r>
      <w:r>
        <w:rPr>
          <w:rFonts w:cs="Times New Roman"/>
          <w:noProof/>
          <w:kern w:val="0"/>
          <w14:ligatures w14:val="none"/>
        </w:rPr>
        <w:t xml:space="preserve"> sistemi üzerine kurulmuştur. ANDA sisteminin temel mantığı referans ilacın etkinliği ve güvenliliği yeniden kanıtlanmayacağı ama jenerik ürünün;</w:t>
      </w:r>
    </w:p>
    <w:p w14:paraId="5680DDDE" w14:textId="77777777" w:rsidR="0007071B" w:rsidRPr="00754EC9" w:rsidRDefault="0007071B" w:rsidP="00754EC9">
      <w:pPr>
        <w:numPr>
          <w:ilvl w:val="0"/>
          <w:numId w:val="29"/>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aynı etkin maddeyi içermesi, </w:t>
      </w:r>
    </w:p>
    <w:p w14:paraId="28CC7E44" w14:textId="77777777" w:rsidR="0007071B" w:rsidRPr="00754EC9" w:rsidRDefault="0007071B" w:rsidP="00754EC9">
      <w:pPr>
        <w:numPr>
          <w:ilvl w:val="0"/>
          <w:numId w:val="29"/>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aynı dozaj formuna sahip olması, </w:t>
      </w:r>
    </w:p>
    <w:p w14:paraId="4814D0C4" w14:textId="77777777" w:rsidR="0007071B" w:rsidRPr="00754EC9" w:rsidRDefault="0007071B" w:rsidP="00754EC9">
      <w:pPr>
        <w:numPr>
          <w:ilvl w:val="0"/>
          <w:numId w:val="29"/>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aynı uygulama yolunu kullanması, </w:t>
      </w:r>
    </w:p>
    <w:p w14:paraId="6199D5C7" w14:textId="77777777" w:rsidR="0007071B" w:rsidRPr="00754EC9" w:rsidRDefault="0007071B" w:rsidP="00754EC9">
      <w:pPr>
        <w:numPr>
          <w:ilvl w:val="0"/>
          <w:numId w:val="29"/>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aynı kullanım endikasyonlarını karşılaması, </w:t>
      </w:r>
    </w:p>
    <w:p w14:paraId="65AB26AE" w14:textId="77777777" w:rsidR="0007071B" w:rsidRPr="00754EC9" w:rsidRDefault="0007071B" w:rsidP="00754EC9">
      <w:pPr>
        <w:numPr>
          <w:ilvl w:val="0"/>
          <w:numId w:val="29"/>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biyoeşdeğer olduğunun gösterilmesi </w:t>
      </w:r>
    </w:p>
    <w:p w14:paraId="71F7D6EC" w14:textId="77777777" w:rsidR="0007071B" w:rsidRPr="00754EC9" w:rsidRDefault="0007071B"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zorunludur. FDA ayrıca </w:t>
      </w:r>
      <w:r>
        <w:rPr>
          <w:rFonts w:cs="Times New Roman"/>
          <w:bCs/>
          <w:noProof/>
          <w:kern w:val="0"/>
          <w14:ligatures w14:val="none"/>
        </w:rPr>
        <w:t>Reference Listed Drug (RLD)</w:t>
      </w:r>
      <w:r>
        <w:rPr>
          <w:rFonts w:cs="Times New Roman"/>
          <w:noProof/>
          <w:kern w:val="0"/>
          <w14:ligatures w14:val="none"/>
        </w:rPr>
        <w:t xml:space="preserve"> ve </w:t>
      </w:r>
      <w:r>
        <w:rPr>
          <w:rFonts w:cs="Times New Roman"/>
          <w:bCs/>
          <w:noProof/>
          <w:kern w:val="0"/>
          <w14:ligatures w14:val="none"/>
        </w:rPr>
        <w:t>Reference Standard (RS)</w:t>
      </w:r>
      <w:r>
        <w:rPr>
          <w:rFonts w:cs="Times New Roman"/>
          <w:noProof/>
          <w:kern w:val="0"/>
          <w14:ligatures w14:val="none"/>
        </w:rPr>
        <w:t xml:space="preserve"> kavramlarını ayrıntılı biçimde tanımlar ve biyoeşdeğerlik çalışmalarının bu referanslar üzerinden yürütülmesini ister. </w:t>
      </w:r>
    </w:p>
    <w:p w14:paraId="4BFD0349" w14:textId="77777777" w:rsidR="0007071B" w:rsidRPr="00754EC9" w:rsidRDefault="0007071B"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FDA'nın yaklaşımını diğer düzenleyici sistemlerden ayıran en önemli özelliklerden biri </w:t>
      </w:r>
      <w:r>
        <w:rPr>
          <w:rFonts w:cs="Times New Roman"/>
          <w:bCs/>
          <w:noProof/>
          <w:kern w:val="0"/>
          <w14:ligatures w14:val="none"/>
        </w:rPr>
        <w:t>ürüne özgü biyoeşdeğerlik kılavuzlarıdır (Product-Specific Guidances, PSG)</w:t>
      </w:r>
      <w:r>
        <w:rPr>
          <w:rFonts w:cs="Times New Roman"/>
          <w:noProof/>
          <w:kern w:val="0"/>
          <w14:ligatures w14:val="none"/>
        </w:rPr>
        <w:t>. Bugün yüzlerce etkin madde için;</w:t>
      </w:r>
    </w:p>
    <w:p w14:paraId="4473E268" w14:textId="77777777" w:rsidR="0007071B" w:rsidRPr="00754EC9" w:rsidRDefault="0007071B" w:rsidP="00754EC9">
      <w:pPr>
        <w:numPr>
          <w:ilvl w:val="0"/>
          <w:numId w:val="30"/>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hangi biyoeşdeğerlik tasarımının kullanılacağı, </w:t>
      </w:r>
    </w:p>
    <w:p w14:paraId="2CC19649" w14:textId="77777777" w:rsidR="0007071B" w:rsidRPr="00754EC9" w:rsidRDefault="0007071B" w:rsidP="00754EC9">
      <w:pPr>
        <w:numPr>
          <w:ilvl w:val="0"/>
          <w:numId w:val="30"/>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açlık veya tokluk çalışmasının gerekip gerekmediği, </w:t>
      </w:r>
    </w:p>
    <w:p w14:paraId="19AF3495" w14:textId="77777777" w:rsidR="0007071B" w:rsidRPr="00754EC9" w:rsidRDefault="0007071B" w:rsidP="00754EC9">
      <w:pPr>
        <w:numPr>
          <w:ilvl w:val="0"/>
          <w:numId w:val="30"/>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metabolit analizlerinin gerekliliği, </w:t>
      </w:r>
    </w:p>
    <w:p w14:paraId="7180E53C" w14:textId="77777777" w:rsidR="0007071B" w:rsidRPr="00754EC9" w:rsidRDefault="0007071B" w:rsidP="00754EC9">
      <w:pPr>
        <w:numPr>
          <w:ilvl w:val="0"/>
          <w:numId w:val="30"/>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çoklu doz çalışmalarının gerekip gerekmediği, </w:t>
      </w:r>
    </w:p>
    <w:p w14:paraId="78E715F8" w14:textId="77777777" w:rsidR="0007071B" w:rsidRPr="00333BFE" w:rsidRDefault="0007071B" w:rsidP="00754EC9">
      <w:pPr>
        <w:numPr>
          <w:ilvl w:val="0"/>
          <w:numId w:val="30"/>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modifiye salımlı preparatlarda izlenecek yol ayrıntılı olarak tanımlanmaktadır.</w:t>
      </w:r>
    </w:p>
    <w:p w14:paraId="5442CFF1" w14:textId="77777777" w:rsidR="0007071B" w:rsidRPr="00754EC9" w:rsidRDefault="0007071B"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Bu yaklaşım, bütün ilaçlara aynı biyoeşdeğerlik şablonunun uygulanması yerine </w:t>
      </w:r>
      <w:r>
        <w:rPr>
          <w:rFonts w:cs="Times New Roman"/>
          <w:bCs/>
          <w:noProof/>
          <w:kern w:val="0"/>
          <w14:ligatures w14:val="none"/>
        </w:rPr>
        <w:t>ürün bazlı düzenleyici bilim</w:t>
      </w:r>
      <w:r>
        <w:rPr>
          <w:rFonts w:cs="Times New Roman"/>
          <w:noProof/>
          <w:kern w:val="0"/>
          <w14:ligatures w14:val="none"/>
        </w:rPr>
        <w:t xml:space="preserve"> anlayışını temsil etmektedir. FDA ayrıca karmaşık jenerikler (complex generics) konusunda dünyadaki en gelişmiş bilimsel altyapılardan birini oluşturmuştur.</w:t>
      </w:r>
    </w:p>
    <w:p w14:paraId="22302C57" w14:textId="77777777" w:rsidR="0007071B" w:rsidRPr="00754EC9" w:rsidRDefault="0007071B"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Örneğin;</w:t>
      </w:r>
    </w:p>
    <w:p w14:paraId="2D21CCA4" w14:textId="77777777" w:rsidR="0007071B" w:rsidRPr="00754EC9" w:rsidRDefault="0007071B" w:rsidP="00754EC9">
      <w:pPr>
        <w:numPr>
          <w:ilvl w:val="0"/>
          <w:numId w:val="31"/>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liposomal preparatlar, </w:t>
      </w:r>
    </w:p>
    <w:p w14:paraId="04B46A8D" w14:textId="77777777" w:rsidR="0007071B" w:rsidRPr="00754EC9" w:rsidRDefault="0007071B" w:rsidP="00754EC9">
      <w:pPr>
        <w:numPr>
          <w:ilvl w:val="0"/>
          <w:numId w:val="31"/>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inhalasyon ürünleri, </w:t>
      </w:r>
    </w:p>
    <w:p w14:paraId="186854D4" w14:textId="77777777" w:rsidR="0007071B" w:rsidRPr="00754EC9" w:rsidRDefault="0007071B" w:rsidP="00754EC9">
      <w:pPr>
        <w:numPr>
          <w:ilvl w:val="0"/>
          <w:numId w:val="31"/>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transdermal sistemler, </w:t>
      </w:r>
    </w:p>
    <w:p w14:paraId="758B05EE" w14:textId="77777777" w:rsidR="0007071B" w:rsidRPr="00754EC9" w:rsidRDefault="0007071B" w:rsidP="00754EC9">
      <w:pPr>
        <w:numPr>
          <w:ilvl w:val="0"/>
          <w:numId w:val="31"/>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oftalmik preparatlar, </w:t>
      </w:r>
    </w:p>
    <w:p w14:paraId="716F6F26" w14:textId="77777777" w:rsidR="0007071B" w:rsidRPr="00754EC9" w:rsidRDefault="0007071B" w:rsidP="00754EC9">
      <w:pPr>
        <w:numPr>
          <w:ilvl w:val="0"/>
          <w:numId w:val="31"/>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uzun etkili enjeksiyonlar </w:t>
      </w:r>
    </w:p>
    <w:p w14:paraId="5B07F007" w14:textId="77777777" w:rsidR="0007071B" w:rsidRPr="00754EC9" w:rsidRDefault="0007071B" w:rsidP="00333BFE">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için klasik biyoeşdeğerlik yaklaşımının ötesinde ek analitik ve klinik değerlendirmeler talep edilmektedir.</w:t>
      </w:r>
    </w:p>
    <w:p w14:paraId="5A9013AF" w14:textId="77777777" w:rsidR="0007071B" w:rsidRPr="00754EC9" w:rsidRDefault="0007071B" w:rsidP="00754EC9">
      <w:pPr>
        <w:spacing w:before="100" w:beforeAutospacing="1" w:after="100" w:afterAutospacing="1" w:line="240" w:lineRule="auto"/>
        <w:jc w:val="both"/>
        <w:outlineLvl w:val="0"/>
        <w:rPr>
          <w:rFonts w:cs="Times New Roman"/>
          <w:b/>
          <w:bCs/>
          <w:noProof/>
          <w:kern w:val="36"/>
          <w:sz w:val="48"/>
          <w:szCs w:val="48"/>
          <w14:ligatures w14:val="none"/>
        </w:rPr>
      </w:pPr>
      <w:r>
        <w:rPr>
          <w:rFonts w:cs="Times New Roman"/>
          <w:b/>
          <w:bCs/>
          <w:noProof/>
          <w:kern w:val="36"/>
          <w:sz w:val="28"/>
          <w:szCs w:val="48"/>
          <w14:ligatures w14:val="none"/>
        </w:rPr>
        <w:t>8.1.2 EMA Yaklaşımı:</w:t>
      </w:r>
    </w:p>
    <w:p w14:paraId="645003ED" w14:textId="77777777" w:rsidR="0007071B" w:rsidRPr="00754EC9" w:rsidRDefault="0007071B"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EMA'nın jenerik ilaç yaklaşımı, Avrupa Birliği'nin ortak düzenleyici sistemi üzerine kuruludur. Temel hukuki çerçeve </w:t>
      </w:r>
      <w:r>
        <w:rPr>
          <w:rFonts w:cs="Times New Roman"/>
          <w:bCs/>
          <w:noProof/>
          <w:kern w:val="0"/>
          <w14:ligatures w14:val="none"/>
        </w:rPr>
        <w:t>Directive 2001/83/EC</w:t>
      </w:r>
      <w:r>
        <w:rPr>
          <w:rFonts w:cs="Times New Roman"/>
          <w:noProof/>
          <w:kern w:val="0"/>
          <w14:ligatures w14:val="none"/>
        </w:rPr>
        <w:t xml:space="preserve"> ile tanımlanmış, biyoeşdeğerlik ilkeleri ise </w:t>
      </w:r>
      <w:r>
        <w:rPr>
          <w:rFonts w:cs="Times New Roman"/>
          <w:bCs/>
          <w:noProof/>
          <w:kern w:val="0"/>
          <w14:ligatures w14:val="none"/>
        </w:rPr>
        <w:t>Guideline on the Investigation of Bioequivalence</w:t>
      </w:r>
      <w:r>
        <w:rPr>
          <w:rFonts w:cs="Times New Roman"/>
          <w:noProof/>
          <w:kern w:val="0"/>
          <w14:ligatures w14:val="none"/>
        </w:rPr>
        <w:t xml:space="preserve"> ve daha yeni ICH rehberleriyle ayrıntılandırılmıştır. EMA biyoeşdeğerliği, referans ürünün klinik verilerine köprü kurulmasını sağlayan temel araç olarak </w:t>
      </w:r>
      <w:r>
        <w:rPr>
          <w:rFonts w:cs="Times New Roman"/>
          <w:noProof/>
          <w:kern w:val="0"/>
          <w14:ligatures w14:val="none"/>
        </w:rPr>
        <w:lastRenderedPageBreak/>
        <w:t>kabul eder. EMA'nın en önemli özelliklerinden biri;</w:t>
      </w:r>
      <w:r>
        <w:rPr>
          <w:rFonts w:cs="Times New Roman"/>
          <w:bCs/>
          <w:noProof/>
          <w:kern w:val="0"/>
          <w14:ligatures w14:val="none"/>
        </w:rPr>
        <w:t>ürün bazlı bilimsel değerlendirme</w:t>
      </w:r>
      <w:r>
        <w:rPr>
          <w:rFonts w:cs="Times New Roman"/>
          <w:noProof/>
          <w:kern w:val="0"/>
          <w14:ligatures w14:val="none"/>
        </w:rPr>
        <w:t xml:space="preserve">  yaklaşımıdır. Son yıllarda çok sayıda </w:t>
      </w:r>
      <w:r>
        <w:rPr>
          <w:rFonts w:cs="Times New Roman"/>
          <w:bCs/>
          <w:noProof/>
          <w:kern w:val="0"/>
          <w14:ligatures w14:val="none"/>
        </w:rPr>
        <w:t>Product-Specific Bioequivalence Guideline</w:t>
      </w:r>
      <w:r>
        <w:rPr>
          <w:rFonts w:cs="Times New Roman"/>
          <w:noProof/>
          <w:kern w:val="0"/>
          <w14:ligatures w14:val="none"/>
        </w:rPr>
        <w:t xml:space="preserve"> yayımlanmıştır.</w:t>
      </w:r>
    </w:p>
    <w:p w14:paraId="6CB395C1" w14:textId="77777777" w:rsidR="0007071B" w:rsidRPr="00754EC9" w:rsidRDefault="0007071B"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Böylece her etkin madde için;</w:t>
      </w:r>
    </w:p>
    <w:p w14:paraId="4084F437" w14:textId="77777777" w:rsidR="0007071B" w:rsidRPr="00754EC9" w:rsidRDefault="0007071B" w:rsidP="00754EC9">
      <w:pPr>
        <w:numPr>
          <w:ilvl w:val="0"/>
          <w:numId w:val="32"/>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çalışma tasarımı, </w:t>
      </w:r>
    </w:p>
    <w:p w14:paraId="4799B96C" w14:textId="77777777" w:rsidR="0007071B" w:rsidRPr="00754EC9" w:rsidRDefault="0007071B" w:rsidP="00754EC9">
      <w:pPr>
        <w:numPr>
          <w:ilvl w:val="0"/>
          <w:numId w:val="32"/>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biyolojik örnekleme, </w:t>
      </w:r>
    </w:p>
    <w:p w14:paraId="6F6B3D19" w14:textId="77777777" w:rsidR="0007071B" w:rsidRPr="00754EC9" w:rsidRDefault="0007071B" w:rsidP="00754EC9">
      <w:pPr>
        <w:numPr>
          <w:ilvl w:val="0"/>
          <w:numId w:val="32"/>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metabolit değerlendirmesi, </w:t>
      </w:r>
    </w:p>
    <w:p w14:paraId="0013D242" w14:textId="77777777" w:rsidR="0007071B" w:rsidRPr="00333BFE" w:rsidRDefault="0007071B" w:rsidP="00333BFE">
      <w:pPr>
        <w:numPr>
          <w:ilvl w:val="0"/>
          <w:numId w:val="32"/>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istatistiksel analiz ayrı ayrı tanımlanmaktadır. EMA ayrıca BCS biyomuafiyeti konusunda FDA ile büyük ölçüde uyumludur.</w:t>
      </w:r>
    </w:p>
    <w:p w14:paraId="1375F04B" w14:textId="77777777" w:rsidR="0007071B" w:rsidRPr="00754EC9" w:rsidRDefault="0007071B" w:rsidP="00754EC9">
      <w:pPr>
        <w:spacing w:before="100" w:beforeAutospacing="1" w:after="100" w:afterAutospacing="1" w:line="240" w:lineRule="auto"/>
        <w:jc w:val="both"/>
        <w:outlineLvl w:val="0"/>
        <w:rPr>
          <w:rFonts w:cs="Times New Roman"/>
          <w:b/>
          <w:bCs/>
          <w:noProof/>
          <w:kern w:val="36"/>
          <w:sz w:val="48"/>
          <w:szCs w:val="48"/>
          <w14:ligatures w14:val="none"/>
        </w:rPr>
      </w:pPr>
      <w:r>
        <w:rPr>
          <w:rFonts w:cs="Times New Roman"/>
          <w:b/>
          <w:bCs/>
          <w:noProof/>
          <w:kern w:val="36"/>
          <w:sz w:val="28"/>
          <w:szCs w:val="48"/>
          <w14:ligatures w14:val="none"/>
        </w:rPr>
        <w:t xml:space="preserve">8.1.3 MHRA Yaklaşımı: </w:t>
      </w:r>
    </w:p>
    <w:p w14:paraId="2E901735" w14:textId="77777777" w:rsidR="0007071B" w:rsidRPr="00754EC9" w:rsidRDefault="0007071B" w:rsidP="00333BFE">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MHRA, biyoeşdeğerlik ve jenerik ilaç değerlendirmelerinde büyük ölçüde EMA'dan devraldığı bilimsel yaklaşımı sürdürmektedir. En önemli farklılıklardan biri </w:t>
      </w:r>
      <w:r>
        <w:rPr>
          <w:rFonts w:cs="Times New Roman"/>
          <w:bCs/>
          <w:noProof/>
          <w:kern w:val="0"/>
          <w14:ligatures w14:val="none"/>
        </w:rPr>
        <w:t>karşılaştırıcı (comparator) ürün seçimi</w:t>
      </w:r>
      <w:r>
        <w:rPr>
          <w:rFonts w:cs="Times New Roman"/>
          <w:noProof/>
          <w:kern w:val="0"/>
          <w14:ligatures w14:val="none"/>
        </w:rPr>
        <w:t xml:space="preserve"> konusunda Birleşik Krallık pazarına özgü düzenlemeler getirilmiş olmasıdır. MHRA, hangi referans ürünün kullanılacağı ve İngiltere dışından temin edilen karşılaştırıcı ürünlerin kabulü konusunda ayrıntılı rehber yayımlamıştır. </w:t>
      </w:r>
    </w:p>
    <w:p w14:paraId="68D728F5" w14:textId="77777777" w:rsidR="005E2832" w:rsidRPr="005E2832" w:rsidRDefault="005E2832" w:rsidP="00754EC9">
      <w:pPr>
        <w:spacing w:before="100" w:beforeAutospacing="1" w:after="100" w:afterAutospacing="1" w:line="240" w:lineRule="auto"/>
        <w:jc w:val="both"/>
        <w:rPr>
          <w:rFonts w:cs="Times New Roman"/>
          <w:b/>
          <w:bCs/>
          <w:noProof/>
          <w:kern w:val="0"/>
          <w14:ligatures w14:val="none"/>
        </w:rPr>
      </w:pPr>
      <w:r>
        <w:rPr>
          <w:rFonts w:cs="Times New Roman"/>
          <w:b/>
          <w:bCs/>
          <w:noProof/>
          <w:kern w:val="0"/>
          <w14:ligatures w14:val="none"/>
        </w:rPr>
        <w:t>8.1.4 TİTCK</w:t>
      </w:r>
    </w:p>
    <w:p w14:paraId="214B2B77" w14:textId="77777777" w:rsidR="0007071B" w:rsidRPr="00754EC9" w:rsidRDefault="0007071B"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Türkiye'de jenerik ilaç ruhsatlandırılması </w:t>
      </w:r>
      <w:r>
        <w:rPr>
          <w:rFonts w:cs="Times New Roman"/>
          <w:bCs/>
          <w:noProof/>
          <w:kern w:val="0"/>
          <w14:ligatures w14:val="none"/>
        </w:rPr>
        <w:t>Türkiye İlaç ve Tıbbi Cihaz Kurumu (TİTCK)</w:t>
      </w:r>
      <w:r>
        <w:rPr>
          <w:rFonts w:cs="Times New Roman"/>
          <w:noProof/>
          <w:kern w:val="0"/>
          <w14:ligatures w14:val="none"/>
        </w:rPr>
        <w:t xml:space="preserve"> tarafından yürütülmektedir. Son yirmi yılda gerçekleştirilen mevzuat reformları sonucunda; biyoeşdeğerlik rehberleri, GMP uygulamaları, ruhsatlandırma süreçleri, farmakovijilans sistemi büyük ölçüde kağıt üzerinde teorik olarak Avrupa Birliği ile uyumlu hale getirilmiştir. Bu arada Türkiye'nin </w:t>
      </w:r>
      <w:r>
        <w:rPr>
          <w:rFonts w:cs="Times New Roman"/>
          <w:bCs/>
          <w:noProof/>
          <w:kern w:val="0"/>
          <w14:ligatures w14:val="none"/>
        </w:rPr>
        <w:t>PIC/S üyeliği</w:t>
      </w:r>
      <w:r>
        <w:rPr>
          <w:rFonts w:cs="Times New Roman"/>
          <w:noProof/>
          <w:kern w:val="0"/>
          <w14:ligatures w14:val="none"/>
        </w:rPr>
        <w:t>, GMP denetim altyapısının uluslararası standartlara uyumunda önemli bir kilometre taşı olmuştur. Bununla birlikte bilimsel değerlendirme yalnızca mevzuat uyumuna indirgenemez.</w:t>
      </w:r>
    </w:p>
    <w:p w14:paraId="5BCF380A" w14:textId="77777777" w:rsidR="0007071B" w:rsidRPr="00754EC9" w:rsidRDefault="0007071B"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Asıl değerlendirilmesi gereken;</w:t>
      </w:r>
    </w:p>
    <w:p w14:paraId="37A5C03C" w14:textId="77777777" w:rsidR="0007071B" w:rsidRPr="00754EC9" w:rsidRDefault="0007071B" w:rsidP="00754EC9">
      <w:pPr>
        <w:numPr>
          <w:ilvl w:val="0"/>
          <w:numId w:val="34"/>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denetim kapasitesi, </w:t>
      </w:r>
    </w:p>
    <w:p w14:paraId="6CCC8726" w14:textId="77777777" w:rsidR="0007071B" w:rsidRPr="00754EC9" w:rsidRDefault="0007071B" w:rsidP="00754EC9">
      <w:pPr>
        <w:numPr>
          <w:ilvl w:val="0"/>
          <w:numId w:val="34"/>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laboratuvar altyapısı, </w:t>
      </w:r>
    </w:p>
    <w:p w14:paraId="7D69B656" w14:textId="77777777" w:rsidR="0007071B" w:rsidRPr="00754EC9" w:rsidRDefault="0007071B" w:rsidP="00754EC9">
      <w:pPr>
        <w:numPr>
          <w:ilvl w:val="0"/>
          <w:numId w:val="34"/>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bağımsız kalite kontrolü, </w:t>
      </w:r>
    </w:p>
    <w:p w14:paraId="5B84F2E8" w14:textId="77777777" w:rsidR="0007071B" w:rsidRPr="00754EC9" w:rsidRDefault="0007071B" w:rsidP="00754EC9">
      <w:pPr>
        <w:numPr>
          <w:ilvl w:val="0"/>
          <w:numId w:val="34"/>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piyasa sonrası gözetim, </w:t>
      </w:r>
    </w:p>
    <w:p w14:paraId="16679D41" w14:textId="77777777" w:rsidR="0007071B" w:rsidRPr="005E2832" w:rsidRDefault="0007071B" w:rsidP="00754EC9">
      <w:pPr>
        <w:numPr>
          <w:ilvl w:val="0"/>
          <w:numId w:val="34"/>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bilimsel raporların şeffaflığı gibi uygulama alanlarıdır.</w:t>
      </w:r>
    </w:p>
    <w:p w14:paraId="20087A77" w14:textId="77777777" w:rsidR="0007071B" w:rsidRPr="00754EC9" w:rsidRDefault="0007071B"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İşte Türkiye'nin önümüzdeki dönemde daha fazla güçlenmesi gereken alanların da bunlar olduğu söylenebilir.</w:t>
      </w:r>
    </w:p>
    <w:p w14:paraId="004EF563" w14:textId="77777777" w:rsidR="0007071B" w:rsidRPr="00754EC9" w:rsidRDefault="0007071B" w:rsidP="00754EC9">
      <w:pPr>
        <w:spacing w:before="100" w:beforeAutospacing="1" w:after="100" w:afterAutospacing="1" w:line="240" w:lineRule="auto"/>
        <w:jc w:val="both"/>
        <w:outlineLvl w:val="0"/>
        <w:rPr>
          <w:rFonts w:cs="Times New Roman"/>
          <w:b/>
          <w:bCs/>
          <w:noProof/>
          <w:kern w:val="36"/>
          <w:sz w:val="48"/>
          <w:szCs w:val="48"/>
          <w14:ligatures w14:val="none"/>
        </w:rPr>
      </w:pPr>
      <w:r>
        <w:rPr>
          <w:rFonts w:cs="Times New Roman"/>
          <w:bCs/>
          <w:noProof/>
          <w:kern w:val="36"/>
          <w:szCs w:val="48"/>
          <w14:ligatures w14:val="none"/>
        </w:rPr>
        <w:t>Dört Kurumun Karşılaştırmalı Değerlendirmesi</w:t>
      </w:r>
    </w:p>
    <w:p w14:paraId="70287562" w14:textId="77777777" w:rsidR="0007071B" w:rsidRPr="00754EC9" w:rsidRDefault="0007071B" w:rsidP="00754EC9">
      <w:pPr>
        <w:spacing w:after="0" w:line="240" w:lineRule="auto"/>
        <w:jc w:val="both"/>
        <w:rPr>
          <w:rFonts w:cs="Times New Roman"/>
          <w:b/>
          <w:bCs/>
          <w:noProof/>
          <w:kern w:val="0"/>
          <w14:ligatures w14:val="none"/>
        </w:rPr>
      </w:pPr>
      <w:r>
        <w:rPr>
          <w:rFonts w:cs="Times New Roman"/>
          <w:b/>
          <w:bCs/>
          <w:noProof/>
          <w:kern w:val="0"/>
          <w14:ligatures w14:val="none"/>
        </w:rPr>
        <w:t>Başlık</w:t>
      </w:r>
    </w:p>
    <w:p w14:paraId="5B2C2710" w14:textId="77777777" w:rsidR="0007071B" w:rsidRPr="00754EC9" w:rsidRDefault="0007071B" w:rsidP="00754EC9">
      <w:pPr>
        <w:spacing w:after="0" w:line="240" w:lineRule="auto"/>
        <w:jc w:val="both"/>
        <w:rPr>
          <w:rFonts w:cs="Times New Roman"/>
          <w:b/>
          <w:bCs/>
          <w:noProof/>
          <w:kern w:val="0"/>
          <w14:ligatures w14:val="none"/>
        </w:rPr>
      </w:pPr>
      <w:r>
        <w:rPr>
          <w:rFonts w:cs="Times New Roman"/>
          <w:b/>
          <w:bCs/>
          <w:noProof/>
          <w:kern w:val="0"/>
          <w14:ligatures w14:val="none"/>
        </w:rPr>
        <w:t>FDA</w:t>
      </w:r>
    </w:p>
    <w:p w14:paraId="47E37FA2" w14:textId="77777777" w:rsidR="0007071B" w:rsidRPr="00754EC9" w:rsidRDefault="0007071B" w:rsidP="00754EC9">
      <w:pPr>
        <w:spacing w:after="0" w:line="240" w:lineRule="auto"/>
        <w:jc w:val="both"/>
        <w:rPr>
          <w:rFonts w:cs="Times New Roman"/>
          <w:b/>
          <w:bCs/>
          <w:noProof/>
          <w:kern w:val="0"/>
          <w14:ligatures w14:val="none"/>
        </w:rPr>
      </w:pPr>
      <w:r>
        <w:rPr>
          <w:rFonts w:cs="Times New Roman"/>
          <w:b/>
          <w:bCs/>
          <w:noProof/>
          <w:kern w:val="0"/>
          <w14:ligatures w14:val="none"/>
        </w:rPr>
        <w:t>EMA</w:t>
      </w:r>
    </w:p>
    <w:p w14:paraId="7DA43620" w14:textId="77777777" w:rsidR="0007071B" w:rsidRPr="00754EC9" w:rsidRDefault="0007071B" w:rsidP="00754EC9">
      <w:pPr>
        <w:spacing w:after="0" w:line="240" w:lineRule="auto"/>
        <w:jc w:val="both"/>
        <w:rPr>
          <w:rFonts w:cs="Times New Roman"/>
          <w:b/>
          <w:bCs/>
          <w:noProof/>
          <w:kern w:val="0"/>
          <w14:ligatures w14:val="none"/>
        </w:rPr>
      </w:pPr>
      <w:r>
        <w:rPr>
          <w:rFonts w:cs="Times New Roman"/>
          <w:b/>
          <w:bCs/>
          <w:noProof/>
          <w:kern w:val="0"/>
          <w14:ligatures w14:val="none"/>
        </w:rPr>
        <w:t>MHRA</w:t>
      </w:r>
    </w:p>
    <w:p w14:paraId="1FBD6662" w14:textId="77777777" w:rsidR="0007071B" w:rsidRPr="00754EC9" w:rsidRDefault="0007071B" w:rsidP="00754EC9">
      <w:pPr>
        <w:spacing w:after="0" w:line="240" w:lineRule="auto"/>
        <w:jc w:val="both"/>
        <w:rPr>
          <w:rFonts w:cs="Times New Roman"/>
          <w:b/>
          <w:bCs/>
          <w:noProof/>
          <w:kern w:val="0"/>
          <w14:ligatures w14:val="none"/>
        </w:rPr>
      </w:pPr>
      <w:r>
        <w:rPr>
          <w:rFonts w:cs="Times New Roman"/>
          <w:b/>
          <w:bCs/>
          <w:noProof/>
          <w:kern w:val="0"/>
          <w14:ligatures w14:val="none"/>
        </w:rPr>
        <w:t>TİTCK</w:t>
      </w:r>
    </w:p>
    <w:p w14:paraId="400D81B6" w14:textId="77777777" w:rsidR="0007071B" w:rsidRPr="00754EC9" w:rsidRDefault="0007071B" w:rsidP="00754EC9">
      <w:pPr>
        <w:spacing w:after="0" w:line="240" w:lineRule="auto"/>
        <w:jc w:val="both"/>
        <w:rPr>
          <w:rFonts w:cs="Times New Roman"/>
          <w:noProof/>
          <w:kern w:val="0"/>
          <w14:ligatures w14:val="none"/>
        </w:rPr>
      </w:pPr>
      <w:r>
        <w:rPr>
          <w:rFonts w:cs="Times New Roman"/>
          <w:noProof/>
          <w:kern w:val="0"/>
          <w14:ligatures w14:val="none"/>
        </w:rPr>
        <w:lastRenderedPageBreak/>
        <w:t>Hukuki temel</w:t>
      </w:r>
    </w:p>
    <w:p w14:paraId="6136013A" w14:textId="77777777" w:rsidR="0007071B" w:rsidRPr="00754EC9" w:rsidRDefault="0007071B" w:rsidP="00754EC9">
      <w:pPr>
        <w:spacing w:after="0" w:line="240" w:lineRule="auto"/>
        <w:jc w:val="both"/>
        <w:rPr>
          <w:rFonts w:cs="Times New Roman"/>
          <w:noProof/>
          <w:kern w:val="0"/>
          <w14:ligatures w14:val="none"/>
        </w:rPr>
      </w:pPr>
      <w:r>
        <w:rPr>
          <w:rFonts w:cs="Times New Roman"/>
          <w:noProof/>
          <w:kern w:val="0"/>
          <w14:ligatures w14:val="none"/>
        </w:rPr>
        <w:t>ANDA sistemi</w:t>
      </w:r>
    </w:p>
    <w:p w14:paraId="6FD9ED4D" w14:textId="77777777" w:rsidR="0007071B" w:rsidRPr="00754EC9" w:rsidRDefault="0007071B" w:rsidP="00754EC9">
      <w:pPr>
        <w:spacing w:after="0" w:line="240" w:lineRule="auto"/>
        <w:jc w:val="both"/>
        <w:rPr>
          <w:rFonts w:cs="Times New Roman"/>
          <w:noProof/>
          <w:kern w:val="0"/>
          <w14:ligatures w14:val="none"/>
        </w:rPr>
      </w:pPr>
      <w:r>
        <w:rPr>
          <w:rFonts w:cs="Times New Roman"/>
          <w:noProof/>
          <w:kern w:val="0"/>
          <w14:ligatures w14:val="none"/>
        </w:rPr>
        <w:t>Directive 2001/83/EC</w:t>
      </w:r>
    </w:p>
    <w:p w14:paraId="16719E02" w14:textId="77777777" w:rsidR="0007071B" w:rsidRPr="00754EC9" w:rsidRDefault="0007071B" w:rsidP="00754EC9">
      <w:pPr>
        <w:spacing w:after="0" w:line="240" w:lineRule="auto"/>
        <w:jc w:val="both"/>
        <w:rPr>
          <w:rFonts w:cs="Times New Roman"/>
          <w:noProof/>
          <w:kern w:val="0"/>
          <w14:ligatures w14:val="none"/>
        </w:rPr>
      </w:pPr>
      <w:r>
        <w:rPr>
          <w:rFonts w:cs="Times New Roman"/>
          <w:noProof/>
          <w:kern w:val="0"/>
          <w14:ligatures w14:val="none"/>
        </w:rPr>
        <w:t>UK Human Medicines Regulations</w:t>
      </w:r>
    </w:p>
    <w:p w14:paraId="1FC76FF2" w14:textId="77777777" w:rsidR="0007071B" w:rsidRPr="00754EC9" w:rsidRDefault="0007071B" w:rsidP="00754EC9">
      <w:pPr>
        <w:spacing w:after="0" w:line="240" w:lineRule="auto"/>
        <w:jc w:val="both"/>
        <w:rPr>
          <w:rFonts w:cs="Times New Roman"/>
          <w:noProof/>
          <w:kern w:val="0"/>
          <w14:ligatures w14:val="none"/>
        </w:rPr>
      </w:pPr>
      <w:r>
        <w:rPr>
          <w:rFonts w:cs="Times New Roman"/>
          <w:noProof/>
          <w:kern w:val="0"/>
          <w14:ligatures w14:val="none"/>
        </w:rPr>
        <w:t>Beşerî Tıbbi Ürünler Ruhsatlandırma Mevzuatı</w:t>
      </w:r>
    </w:p>
    <w:p w14:paraId="411E59C0" w14:textId="77777777" w:rsidR="0007071B" w:rsidRPr="00754EC9" w:rsidRDefault="0007071B" w:rsidP="00754EC9">
      <w:pPr>
        <w:spacing w:after="0" w:line="240" w:lineRule="auto"/>
        <w:jc w:val="both"/>
        <w:rPr>
          <w:rFonts w:cs="Times New Roman"/>
          <w:noProof/>
          <w:kern w:val="0"/>
          <w14:ligatures w14:val="none"/>
        </w:rPr>
      </w:pPr>
      <w:r>
        <w:rPr>
          <w:rFonts w:cs="Times New Roman"/>
          <w:noProof/>
          <w:kern w:val="0"/>
          <w14:ligatures w14:val="none"/>
        </w:rPr>
        <w:t>Biyoeşdeğerlik</w:t>
      </w:r>
    </w:p>
    <w:p w14:paraId="4465F57D" w14:textId="77777777" w:rsidR="0007071B" w:rsidRPr="00754EC9" w:rsidRDefault="0007071B" w:rsidP="00754EC9">
      <w:pPr>
        <w:spacing w:after="0" w:line="240" w:lineRule="auto"/>
        <w:jc w:val="both"/>
        <w:rPr>
          <w:rFonts w:cs="Times New Roman"/>
          <w:noProof/>
          <w:kern w:val="0"/>
          <w14:ligatures w14:val="none"/>
        </w:rPr>
      </w:pPr>
      <w:r>
        <w:rPr>
          <w:rFonts w:cs="Times New Roman"/>
          <w:noProof/>
          <w:kern w:val="0"/>
          <w14:ligatures w14:val="none"/>
        </w:rPr>
        <w:t>Ürün bazlı ayrıntılı rehberler</w:t>
      </w:r>
    </w:p>
    <w:p w14:paraId="168794FA" w14:textId="77777777" w:rsidR="0007071B" w:rsidRPr="00754EC9" w:rsidRDefault="0007071B" w:rsidP="00754EC9">
      <w:pPr>
        <w:spacing w:after="0" w:line="240" w:lineRule="auto"/>
        <w:jc w:val="both"/>
        <w:rPr>
          <w:rFonts w:cs="Times New Roman"/>
          <w:noProof/>
          <w:kern w:val="0"/>
          <w14:ligatures w14:val="none"/>
        </w:rPr>
      </w:pPr>
      <w:r>
        <w:rPr>
          <w:rFonts w:cs="Times New Roman"/>
          <w:noProof/>
          <w:kern w:val="0"/>
          <w14:ligatures w14:val="none"/>
        </w:rPr>
        <w:t>Ürün bazlı rehberler</w:t>
      </w:r>
    </w:p>
    <w:p w14:paraId="6A6B091E" w14:textId="77777777" w:rsidR="0007071B" w:rsidRPr="00754EC9" w:rsidRDefault="0007071B" w:rsidP="00754EC9">
      <w:pPr>
        <w:spacing w:after="0" w:line="240" w:lineRule="auto"/>
        <w:jc w:val="both"/>
        <w:rPr>
          <w:rFonts w:cs="Times New Roman"/>
          <w:noProof/>
          <w:kern w:val="0"/>
          <w14:ligatures w14:val="none"/>
        </w:rPr>
      </w:pPr>
      <w:r>
        <w:rPr>
          <w:rFonts w:cs="Times New Roman"/>
          <w:noProof/>
          <w:kern w:val="0"/>
          <w14:ligatures w14:val="none"/>
        </w:rPr>
        <w:t>EMA ile büyük ölçüde uyumlu</w:t>
      </w:r>
    </w:p>
    <w:p w14:paraId="2749BCFC" w14:textId="77777777" w:rsidR="0007071B" w:rsidRPr="00754EC9" w:rsidRDefault="0007071B" w:rsidP="00754EC9">
      <w:pPr>
        <w:spacing w:after="0" w:line="240" w:lineRule="auto"/>
        <w:jc w:val="both"/>
        <w:rPr>
          <w:rFonts w:cs="Times New Roman"/>
          <w:noProof/>
          <w:kern w:val="0"/>
          <w14:ligatures w14:val="none"/>
        </w:rPr>
      </w:pPr>
      <w:r>
        <w:rPr>
          <w:rFonts w:cs="Times New Roman"/>
          <w:noProof/>
          <w:kern w:val="0"/>
          <w14:ligatures w14:val="none"/>
        </w:rPr>
        <w:t>AB esaslı yaklaşım</w:t>
      </w:r>
    </w:p>
    <w:p w14:paraId="52E3D767" w14:textId="77777777" w:rsidR="0007071B" w:rsidRPr="00754EC9" w:rsidRDefault="0007071B" w:rsidP="00754EC9">
      <w:pPr>
        <w:spacing w:after="0" w:line="240" w:lineRule="auto"/>
        <w:jc w:val="both"/>
        <w:rPr>
          <w:rFonts w:cs="Times New Roman"/>
          <w:noProof/>
          <w:kern w:val="0"/>
          <w14:ligatures w14:val="none"/>
        </w:rPr>
      </w:pPr>
      <w:r>
        <w:rPr>
          <w:rFonts w:cs="Times New Roman"/>
          <w:noProof/>
          <w:kern w:val="0"/>
          <w14:ligatures w14:val="none"/>
        </w:rPr>
        <w:t>BCS biyomuafiyeti</w:t>
      </w:r>
    </w:p>
    <w:p w14:paraId="09CB6BAE" w14:textId="77777777" w:rsidR="0007071B" w:rsidRPr="00754EC9" w:rsidRDefault="0007071B" w:rsidP="00754EC9">
      <w:pPr>
        <w:spacing w:after="0" w:line="240" w:lineRule="auto"/>
        <w:jc w:val="both"/>
        <w:rPr>
          <w:rFonts w:cs="Times New Roman"/>
          <w:noProof/>
          <w:kern w:val="0"/>
          <w14:ligatures w14:val="none"/>
        </w:rPr>
      </w:pPr>
      <w:r>
        <w:rPr>
          <w:rFonts w:cs="Times New Roman"/>
          <w:noProof/>
          <w:kern w:val="0"/>
          <w14:ligatures w14:val="none"/>
        </w:rPr>
        <w:t>ICH M9 uyumlu</w:t>
      </w:r>
    </w:p>
    <w:p w14:paraId="5BEE9CD8" w14:textId="77777777" w:rsidR="0007071B" w:rsidRPr="00754EC9" w:rsidRDefault="0007071B" w:rsidP="00754EC9">
      <w:pPr>
        <w:spacing w:after="0" w:line="240" w:lineRule="auto"/>
        <w:jc w:val="both"/>
        <w:rPr>
          <w:rFonts w:cs="Times New Roman"/>
          <w:noProof/>
          <w:kern w:val="0"/>
          <w14:ligatures w14:val="none"/>
        </w:rPr>
      </w:pPr>
      <w:r>
        <w:rPr>
          <w:rFonts w:cs="Times New Roman"/>
          <w:noProof/>
          <w:kern w:val="0"/>
          <w14:ligatures w14:val="none"/>
        </w:rPr>
        <w:t>ICH M9 uyumlu</w:t>
      </w:r>
    </w:p>
    <w:p w14:paraId="6C03F1DE" w14:textId="77777777" w:rsidR="0007071B" w:rsidRPr="00754EC9" w:rsidRDefault="0007071B" w:rsidP="00754EC9">
      <w:pPr>
        <w:spacing w:after="0" w:line="240" w:lineRule="auto"/>
        <w:jc w:val="both"/>
        <w:rPr>
          <w:rFonts w:cs="Times New Roman"/>
          <w:noProof/>
          <w:kern w:val="0"/>
          <w14:ligatures w14:val="none"/>
        </w:rPr>
      </w:pPr>
      <w:r>
        <w:rPr>
          <w:rFonts w:cs="Times New Roman"/>
          <w:noProof/>
          <w:kern w:val="0"/>
          <w14:ligatures w14:val="none"/>
        </w:rPr>
        <w:t>ICH yaklaşımını benimser</w:t>
      </w:r>
    </w:p>
    <w:p w14:paraId="6E62C4F6" w14:textId="77777777" w:rsidR="0007071B" w:rsidRPr="00754EC9" w:rsidRDefault="0007071B" w:rsidP="00754EC9">
      <w:pPr>
        <w:spacing w:after="0" w:line="240" w:lineRule="auto"/>
        <w:jc w:val="both"/>
        <w:rPr>
          <w:rFonts w:cs="Times New Roman"/>
          <w:noProof/>
          <w:kern w:val="0"/>
          <w14:ligatures w14:val="none"/>
        </w:rPr>
      </w:pPr>
      <w:r>
        <w:rPr>
          <w:rFonts w:cs="Times New Roman"/>
          <w:noProof/>
          <w:kern w:val="0"/>
          <w14:ligatures w14:val="none"/>
        </w:rPr>
        <w:t>ICH/AB uyumlu</w:t>
      </w:r>
    </w:p>
    <w:p w14:paraId="5E2B002F" w14:textId="77777777" w:rsidR="0007071B" w:rsidRPr="00754EC9" w:rsidRDefault="0007071B" w:rsidP="00754EC9">
      <w:pPr>
        <w:spacing w:after="0" w:line="240" w:lineRule="auto"/>
        <w:jc w:val="both"/>
        <w:rPr>
          <w:rFonts w:cs="Times New Roman"/>
          <w:noProof/>
          <w:kern w:val="0"/>
          <w14:ligatures w14:val="none"/>
        </w:rPr>
      </w:pPr>
      <w:r>
        <w:rPr>
          <w:rFonts w:cs="Times New Roman"/>
          <w:noProof/>
          <w:kern w:val="0"/>
          <w14:ligatures w14:val="none"/>
        </w:rPr>
        <w:t>GMP</w:t>
      </w:r>
    </w:p>
    <w:p w14:paraId="32B2FDCA" w14:textId="77777777" w:rsidR="0007071B" w:rsidRPr="00754EC9" w:rsidRDefault="0007071B" w:rsidP="00754EC9">
      <w:pPr>
        <w:spacing w:after="0" w:line="240" w:lineRule="auto"/>
        <w:jc w:val="both"/>
        <w:rPr>
          <w:rFonts w:cs="Times New Roman"/>
          <w:noProof/>
          <w:kern w:val="0"/>
          <w14:ligatures w14:val="none"/>
        </w:rPr>
      </w:pPr>
      <w:r>
        <w:rPr>
          <w:rFonts w:cs="Times New Roman"/>
          <w:noProof/>
          <w:kern w:val="0"/>
          <w14:ligatures w14:val="none"/>
        </w:rPr>
        <w:t>Çok yoğun denetim ve Warning Letter sistemi</w:t>
      </w:r>
    </w:p>
    <w:p w14:paraId="17BF0BBF" w14:textId="77777777" w:rsidR="0007071B" w:rsidRPr="00754EC9" w:rsidRDefault="0007071B" w:rsidP="00754EC9">
      <w:pPr>
        <w:spacing w:after="0" w:line="240" w:lineRule="auto"/>
        <w:jc w:val="both"/>
        <w:rPr>
          <w:rFonts w:cs="Times New Roman"/>
          <w:noProof/>
          <w:kern w:val="0"/>
          <w14:ligatures w14:val="none"/>
        </w:rPr>
      </w:pPr>
      <w:r>
        <w:rPr>
          <w:rFonts w:cs="Times New Roman"/>
          <w:noProof/>
          <w:kern w:val="0"/>
          <w14:ligatures w14:val="none"/>
        </w:rPr>
        <w:t>PIC/S + OMCL ağı</w:t>
      </w:r>
    </w:p>
    <w:p w14:paraId="17325E4E" w14:textId="77777777" w:rsidR="0007071B" w:rsidRPr="00754EC9" w:rsidRDefault="0007071B" w:rsidP="00754EC9">
      <w:pPr>
        <w:spacing w:after="0" w:line="240" w:lineRule="auto"/>
        <w:jc w:val="both"/>
        <w:rPr>
          <w:rFonts w:cs="Times New Roman"/>
          <w:noProof/>
          <w:kern w:val="0"/>
          <w14:ligatures w14:val="none"/>
        </w:rPr>
      </w:pPr>
      <w:r>
        <w:rPr>
          <w:rFonts w:cs="Times New Roman"/>
          <w:noProof/>
          <w:kern w:val="0"/>
          <w14:ligatures w14:val="none"/>
        </w:rPr>
        <w:t>PIC/S</w:t>
      </w:r>
    </w:p>
    <w:p w14:paraId="0258877E" w14:textId="77777777" w:rsidR="0007071B" w:rsidRPr="00754EC9" w:rsidRDefault="0007071B" w:rsidP="00754EC9">
      <w:pPr>
        <w:spacing w:after="0" w:line="240" w:lineRule="auto"/>
        <w:jc w:val="both"/>
        <w:rPr>
          <w:rFonts w:cs="Times New Roman"/>
          <w:noProof/>
          <w:kern w:val="0"/>
          <w14:ligatures w14:val="none"/>
        </w:rPr>
      </w:pPr>
      <w:r>
        <w:rPr>
          <w:rFonts w:cs="Times New Roman"/>
          <w:noProof/>
          <w:kern w:val="0"/>
          <w14:ligatures w14:val="none"/>
        </w:rPr>
        <w:t>PIC/S üyesi</w:t>
      </w:r>
    </w:p>
    <w:p w14:paraId="1952A63F" w14:textId="77777777" w:rsidR="0007071B" w:rsidRPr="00754EC9" w:rsidRDefault="0007071B" w:rsidP="00754EC9">
      <w:pPr>
        <w:spacing w:after="0" w:line="240" w:lineRule="auto"/>
        <w:jc w:val="both"/>
        <w:rPr>
          <w:rFonts w:cs="Times New Roman"/>
          <w:noProof/>
          <w:kern w:val="0"/>
          <w14:ligatures w14:val="none"/>
        </w:rPr>
      </w:pPr>
      <w:r>
        <w:rPr>
          <w:rFonts w:cs="Times New Roman"/>
          <w:noProof/>
          <w:kern w:val="0"/>
          <w14:ligatures w14:val="none"/>
        </w:rPr>
        <w:t>Şeffaflık</w:t>
      </w:r>
    </w:p>
    <w:p w14:paraId="12C07E95" w14:textId="77777777" w:rsidR="0007071B" w:rsidRPr="00754EC9" w:rsidRDefault="0007071B" w:rsidP="00754EC9">
      <w:pPr>
        <w:spacing w:after="0" w:line="240" w:lineRule="auto"/>
        <w:jc w:val="both"/>
        <w:rPr>
          <w:rFonts w:cs="Times New Roman"/>
          <w:noProof/>
          <w:kern w:val="0"/>
          <w14:ligatures w14:val="none"/>
        </w:rPr>
      </w:pPr>
      <w:r>
        <w:rPr>
          <w:rFonts w:cs="Times New Roman"/>
          <w:noProof/>
          <w:kern w:val="0"/>
          <w14:ligatures w14:val="none"/>
        </w:rPr>
        <w:t>Çok yüksek</w:t>
      </w:r>
    </w:p>
    <w:p w14:paraId="7DC4CD60" w14:textId="77777777" w:rsidR="0007071B" w:rsidRPr="00754EC9" w:rsidRDefault="0007071B" w:rsidP="00754EC9">
      <w:pPr>
        <w:spacing w:after="0" w:line="240" w:lineRule="auto"/>
        <w:jc w:val="both"/>
        <w:rPr>
          <w:rFonts w:cs="Times New Roman"/>
          <w:noProof/>
          <w:kern w:val="0"/>
          <w14:ligatures w14:val="none"/>
        </w:rPr>
      </w:pPr>
      <w:r>
        <w:rPr>
          <w:rFonts w:cs="Times New Roman"/>
          <w:noProof/>
          <w:kern w:val="0"/>
          <w14:ligatures w14:val="none"/>
        </w:rPr>
        <w:t>Çok yüksek</w:t>
      </w:r>
    </w:p>
    <w:p w14:paraId="0207E55F" w14:textId="77777777" w:rsidR="0007071B" w:rsidRPr="00754EC9" w:rsidRDefault="0007071B" w:rsidP="00754EC9">
      <w:pPr>
        <w:spacing w:after="0" w:line="240" w:lineRule="auto"/>
        <w:jc w:val="both"/>
        <w:rPr>
          <w:rFonts w:cs="Times New Roman"/>
          <w:noProof/>
          <w:kern w:val="0"/>
          <w14:ligatures w14:val="none"/>
        </w:rPr>
      </w:pPr>
      <w:r>
        <w:rPr>
          <w:rFonts w:cs="Times New Roman"/>
          <w:noProof/>
          <w:kern w:val="0"/>
          <w14:ligatures w14:val="none"/>
        </w:rPr>
        <w:t>Yüksek</w:t>
      </w:r>
    </w:p>
    <w:p w14:paraId="03F72CFB" w14:textId="77777777" w:rsidR="0007071B" w:rsidRPr="00754EC9" w:rsidRDefault="005E2832" w:rsidP="00754EC9">
      <w:pPr>
        <w:spacing w:after="0" w:line="240" w:lineRule="auto"/>
        <w:jc w:val="both"/>
        <w:rPr>
          <w:rFonts w:cs="Times New Roman"/>
          <w:noProof/>
          <w:kern w:val="0"/>
          <w14:ligatures w14:val="none"/>
        </w:rPr>
      </w:pPr>
      <w:r>
        <w:rPr>
          <w:rFonts w:cs="Times New Roman"/>
          <w:noProof/>
          <w:kern w:val="0"/>
          <w14:ligatures w14:val="none"/>
        </w:rPr>
        <w:t>Yok</w:t>
      </w:r>
    </w:p>
    <w:p w14:paraId="3C8546E5" w14:textId="77777777" w:rsidR="0007071B" w:rsidRPr="00754EC9" w:rsidRDefault="0007071B" w:rsidP="00754EC9">
      <w:pPr>
        <w:spacing w:after="0" w:line="240" w:lineRule="auto"/>
        <w:jc w:val="both"/>
        <w:rPr>
          <w:rFonts w:cs="Times New Roman"/>
          <w:noProof/>
          <w:kern w:val="0"/>
          <w14:ligatures w14:val="none"/>
        </w:rPr>
      </w:pPr>
      <w:r>
        <w:rPr>
          <w:rFonts w:cs="Times New Roman"/>
          <w:noProof/>
          <w:kern w:val="0"/>
          <w14:ligatures w14:val="none"/>
        </w:rPr>
        <w:t>Piyasa sonrası kalite izlemi</w:t>
      </w:r>
    </w:p>
    <w:p w14:paraId="5FFD8205" w14:textId="77777777" w:rsidR="0007071B" w:rsidRPr="00754EC9" w:rsidRDefault="0007071B" w:rsidP="00754EC9">
      <w:pPr>
        <w:spacing w:after="0" w:line="240" w:lineRule="auto"/>
        <w:jc w:val="both"/>
        <w:rPr>
          <w:rFonts w:cs="Times New Roman"/>
          <w:noProof/>
          <w:kern w:val="0"/>
          <w14:ligatures w14:val="none"/>
        </w:rPr>
      </w:pPr>
      <w:r>
        <w:rPr>
          <w:rFonts w:cs="Times New Roman"/>
          <w:noProof/>
          <w:kern w:val="0"/>
          <w14:ligatures w14:val="none"/>
        </w:rPr>
        <w:t>Çok güçlü</w:t>
      </w:r>
    </w:p>
    <w:p w14:paraId="1B71F347" w14:textId="77777777" w:rsidR="0007071B" w:rsidRPr="00754EC9" w:rsidRDefault="0007071B" w:rsidP="00754EC9">
      <w:pPr>
        <w:spacing w:after="0" w:line="240" w:lineRule="auto"/>
        <w:jc w:val="both"/>
        <w:rPr>
          <w:rFonts w:cs="Times New Roman"/>
          <w:noProof/>
          <w:kern w:val="0"/>
          <w14:ligatures w14:val="none"/>
        </w:rPr>
      </w:pPr>
      <w:r>
        <w:rPr>
          <w:rFonts w:cs="Times New Roman"/>
          <w:noProof/>
          <w:kern w:val="0"/>
          <w14:ligatures w14:val="none"/>
        </w:rPr>
        <w:t>Çok güçlü</w:t>
      </w:r>
    </w:p>
    <w:p w14:paraId="7D8EAF20" w14:textId="77777777" w:rsidR="0007071B" w:rsidRPr="00754EC9" w:rsidRDefault="0007071B" w:rsidP="00754EC9">
      <w:pPr>
        <w:spacing w:after="0" w:line="240" w:lineRule="auto"/>
        <w:jc w:val="both"/>
        <w:rPr>
          <w:rFonts w:cs="Times New Roman"/>
          <w:noProof/>
          <w:kern w:val="0"/>
          <w14:ligatures w14:val="none"/>
        </w:rPr>
      </w:pPr>
      <w:r>
        <w:rPr>
          <w:rFonts w:cs="Times New Roman"/>
          <w:noProof/>
          <w:kern w:val="0"/>
          <w14:ligatures w14:val="none"/>
        </w:rPr>
        <w:t>Güçlü</w:t>
      </w:r>
    </w:p>
    <w:p w14:paraId="65E151A3" w14:textId="77777777" w:rsidR="0007071B" w:rsidRPr="00754EC9" w:rsidRDefault="0007071B" w:rsidP="00754EC9">
      <w:pPr>
        <w:spacing w:after="0" w:line="240" w:lineRule="auto"/>
        <w:jc w:val="both"/>
        <w:rPr>
          <w:rFonts w:cs="Times New Roman"/>
          <w:noProof/>
          <w:kern w:val="0"/>
          <w14:ligatures w14:val="none"/>
        </w:rPr>
      </w:pPr>
      <w:r>
        <w:rPr>
          <w:rFonts w:cs="Times New Roman"/>
          <w:noProof/>
          <w:kern w:val="0"/>
          <w14:ligatures w14:val="none"/>
        </w:rPr>
        <w:t>Kapasite yetersiz</w:t>
      </w:r>
    </w:p>
    <w:p w14:paraId="1005D387" w14:textId="77777777" w:rsidR="0007071B" w:rsidRPr="00754EC9" w:rsidRDefault="0007071B" w:rsidP="00754EC9">
      <w:pPr>
        <w:spacing w:after="0" w:line="240" w:lineRule="auto"/>
        <w:jc w:val="both"/>
        <w:rPr>
          <w:rFonts w:cs="Times New Roman"/>
          <w:noProof/>
          <w:kern w:val="0"/>
          <w14:ligatures w14:val="none"/>
        </w:rPr>
      </w:pPr>
      <w:r>
        <w:rPr>
          <w:rFonts w:cs="Times New Roman"/>
          <w:noProof/>
          <w:kern w:val="0"/>
          <w14:ligatures w14:val="none"/>
        </w:rPr>
        <w:t>Ürün bazlı BE kılavuzu</w:t>
      </w:r>
    </w:p>
    <w:p w14:paraId="4A909871" w14:textId="77777777" w:rsidR="0007071B" w:rsidRPr="00754EC9" w:rsidRDefault="0007071B" w:rsidP="00754EC9">
      <w:pPr>
        <w:spacing w:after="0" w:line="240" w:lineRule="auto"/>
        <w:jc w:val="both"/>
        <w:rPr>
          <w:rFonts w:cs="Times New Roman"/>
          <w:noProof/>
          <w:kern w:val="0"/>
          <w14:ligatures w14:val="none"/>
        </w:rPr>
      </w:pPr>
      <w:r>
        <w:rPr>
          <w:rFonts w:cs="Times New Roman"/>
          <w:noProof/>
          <w:kern w:val="0"/>
          <w14:ligatures w14:val="none"/>
        </w:rPr>
        <w:t>Çok yaygın</w:t>
      </w:r>
    </w:p>
    <w:p w14:paraId="2834FBF2" w14:textId="77777777" w:rsidR="0007071B" w:rsidRPr="00754EC9" w:rsidRDefault="0007071B" w:rsidP="00754EC9">
      <w:pPr>
        <w:spacing w:after="0" w:line="240" w:lineRule="auto"/>
        <w:jc w:val="both"/>
        <w:rPr>
          <w:rFonts w:cs="Times New Roman"/>
          <w:noProof/>
          <w:kern w:val="0"/>
          <w14:ligatures w14:val="none"/>
        </w:rPr>
      </w:pPr>
      <w:r>
        <w:rPr>
          <w:rFonts w:cs="Times New Roman"/>
          <w:noProof/>
          <w:kern w:val="0"/>
          <w14:ligatures w14:val="none"/>
        </w:rPr>
        <w:t>Yaygın</w:t>
      </w:r>
    </w:p>
    <w:p w14:paraId="13B2450A" w14:textId="77777777" w:rsidR="0007071B" w:rsidRPr="00754EC9" w:rsidRDefault="0007071B" w:rsidP="00754EC9">
      <w:pPr>
        <w:spacing w:after="0" w:line="240" w:lineRule="auto"/>
        <w:jc w:val="both"/>
        <w:rPr>
          <w:rFonts w:cs="Times New Roman"/>
          <w:noProof/>
          <w:kern w:val="0"/>
          <w14:ligatures w14:val="none"/>
        </w:rPr>
      </w:pPr>
      <w:r>
        <w:rPr>
          <w:rFonts w:cs="Times New Roman"/>
          <w:noProof/>
          <w:kern w:val="0"/>
          <w14:ligatures w14:val="none"/>
        </w:rPr>
        <w:t>Var</w:t>
      </w:r>
    </w:p>
    <w:p w14:paraId="390F471B" w14:textId="77777777" w:rsidR="0007071B" w:rsidRPr="00754EC9" w:rsidRDefault="005E2832" w:rsidP="00754EC9">
      <w:pPr>
        <w:spacing w:after="0" w:line="240" w:lineRule="auto"/>
        <w:jc w:val="both"/>
        <w:rPr>
          <w:rFonts w:cs="Times New Roman"/>
          <w:noProof/>
          <w:kern w:val="0"/>
          <w14:ligatures w14:val="none"/>
        </w:rPr>
      </w:pPr>
      <w:r>
        <w:rPr>
          <w:rFonts w:cs="Times New Roman"/>
          <w:noProof/>
          <w:kern w:val="0"/>
          <w14:ligatures w14:val="none"/>
        </w:rPr>
        <w:t>Çok sınırlı</w:t>
      </w:r>
    </w:p>
    <w:p w14:paraId="1A27B2AC" w14:textId="77777777" w:rsidR="0007071B" w:rsidRPr="00754EC9" w:rsidRDefault="0007071B"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Bu karşılaştırmadan çıkarılması gereken belki de en önemli sonuç şudur: </w:t>
      </w:r>
      <w:r>
        <w:rPr>
          <w:rFonts w:cs="Times New Roman"/>
          <w:bCs/>
          <w:noProof/>
          <w:kern w:val="0"/>
          <w14:ligatures w14:val="none"/>
        </w:rPr>
        <w:t xml:space="preserve">FDA, EMA, MHRA ve TİTCK arasındaki temel fark biyoeşdeğerlik kabul kriterleri değildir. </w:t>
      </w:r>
      <w:r>
        <w:rPr>
          <w:rFonts w:cs="Times New Roman"/>
          <w:noProof/>
          <w:kern w:val="0"/>
          <w14:ligatures w14:val="none"/>
        </w:rPr>
        <w:t>Temel fark;</w:t>
      </w:r>
    </w:p>
    <w:p w14:paraId="7FFE3E7B" w14:textId="77777777" w:rsidR="0007071B" w:rsidRPr="00754EC9" w:rsidRDefault="0007071B" w:rsidP="00754EC9">
      <w:pPr>
        <w:numPr>
          <w:ilvl w:val="0"/>
          <w:numId w:val="35"/>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düzenleyici bilim kapasitesi, </w:t>
      </w:r>
    </w:p>
    <w:p w14:paraId="57AFF842" w14:textId="77777777" w:rsidR="0007071B" w:rsidRPr="00754EC9" w:rsidRDefault="0007071B" w:rsidP="00754EC9">
      <w:pPr>
        <w:numPr>
          <w:ilvl w:val="0"/>
          <w:numId w:val="35"/>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denetim yoğunluğu, </w:t>
      </w:r>
    </w:p>
    <w:p w14:paraId="14D3D452" w14:textId="77777777" w:rsidR="0007071B" w:rsidRPr="00754EC9" w:rsidRDefault="0007071B" w:rsidP="00754EC9">
      <w:pPr>
        <w:numPr>
          <w:ilvl w:val="0"/>
          <w:numId w:val="35"/>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şeffaflık, </w:t>
      </w:r>
    </w:p>
    <w:p w14:paraId="1D850730" w14:textId="77777777" w:rsidR="0007071B" w:rsidRPr="00754EC9" w:rsidRDefault="0007071B" w:rsidP="00754EC9">
      <w:pPr>
        <w:numPr>
          <w:ilvl w:val="0"/>
          <w:numId w:val="35"/>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yaşam döngüsü yönetimi, </w:t>
      </w:r>
    </w:p>
    <w:p w14:paraId="13717529" w14:textId="77777777" w:rsidR="0007071B" w:rsidRPr="00754EC9" w:rsidRDefault="0007071B" w:rsidP="00754EC9">
      <w:pPr>
        <w:numPr>
          <w:ilvl w:val="0"/>
          <w:numId w:val="35"/>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veri bütünlüğü kültürü, </w:t>
      </w:r>
    </w:p>
    <w:p w14:paraId="02A86CA2" w14:textId="77777777" w:rsidR="0007071B" w:rsidRDefault="0007071B" w:rsidP="00754EC9">
      <w:pPr>
        <w:numPr>
          <w:ilvl w:val="0"/>
          <w:numId w:val="35"/>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piyasa sonrası kalite doğrulaması </w:t>
      </w:r>
    </w:p>
    <w:p w14:paraId="125C21F3" w14:textId="77777777" w:rsidR="005E2832" w:rsidRDefault="005E2832" w:rsidP="00754EC9">
      <w:pPr>
        <w:numPr>
          <w:ilvl w:val="0"/>
          <w:numId w:val="35"/>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politik ve sanayi baskısı</w:t>
      </w:r>
    </w:p>
    <w:p w14:paraId="738F295D" w14:textId="77777777" w:rsidR="0007071B" w:rsidRPr="005E2832" w:rsidRDefault="005E2832" w:rsidP="00754EC9">
      <w:pPr>
        <w:numPr>
          <w:ilvl w:val="0"/>
          <w:numId w:val="35"/>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lastRenderedPageBreak/>
        <w:t>Liyakat alanlarında ortaya çıkmaktadır.</w:t>
      </w:r>
    </w:p>
    <w:p w14:paraId="5632CD92" w14:textId="77777777" w:rsidR="00FE6EB8" w:rsidRPr="00697B51" w:rsidRDefault="00FE6EB8" w:rsidP="00697B51">
      <w:pPr>
        <w:pStyle w:val="NormalWeb"/>
        <w:rPr>
          <w:i/>
          <w:iCs/>
        </w:rPr>
      </w:pPr>
      <w:r>
        <w:rPr>
          <w:bCs/>
          <w:i/>
          <w:iCs/>
          <w:noProof/>
        </w:rPr>
        <w:t>K</w:t>
      </w:r>
      <w:r>
        <w:rPr>
          <w:bCs/>
          <w:i/>
          <w:iCs/>
          <w:noProof/>
          <w:lang w:val="tr-TR"/>
        </w:rPr>
        <w:t>aliteyi belirleyen mevzuat değil</w:t>
      </w:r>
      <w:r>
        <w:rPr>
          <w:bCs/>
          <w:i/>
          <w:iCs/>
          <w:noProof/>
        </w:rPr>
        <w:t>, k</w:t>
      </w:r>
      <w:r>
        <w:rPr>
          <w:bCs/>
          <w:i/>
          <w:iCs/>
          <w:noProof/>
          <w:lang w:val="tr-TR"/>
        </w:rPr>
        <w:t>aliteyi belirleyen, mevzuatın ne ölçüde uygulanabildiğidir</w:t>
      </w:r>
      <w:r>
        <w:rPr>
          <w:bCs/>
          <w:i/>
          <w:iCs/>
          <w:noProof/>
        </w:rPr>
        <w:t>. Türkiyenin en büyük jenerik işaç birliği İEİS başkanı bile Türkiyede kalitesiz ilaç bulunduğunu beyan ediyorsa konu çok ciddi şekilde tartışılmalıdır. (</w:t>
      </w:r>
      <w:r>
        <w:rPr>
          <w:i/>
          <w:iCs/>
        </w:rPr>
        <w:t xml:space="preserve">Kasım 2013 tarihli Elif Ergu'nun Vatan gazetesindeki yazısı. …Barut, döviz kuru baskısı nedeniyle "Türkiye'de ilacın kalitesi düştü" demiş; kalite düşüşünün etkin madde azaltılmasından değil, kontrollerin azalması ve kullanılan hammaddelerin farklılaşmasından kaynaklandığını, 1000 ilaçtan numune alındığında kalite düşüşünün görüldüğünü belirtmiş. E. "Nezih Bey 'barut' gibi." </w:t>
      </w:r>
      <w:r>
        <w:rPr>
          <w:rStyle w:val="Emphasis"/>
          <w:i w:val="0"/>
          <w:iCs w:val="0"/>
        </w:rPr>
        <w:t>Vatan</w:t>
      </w:r>
      <w:r>
        <w:rPr>
          <w:i/>
          <w:iCs/>
        </w:rPr>
        <w:t>, 12 Kasım 2013. https://www.gazetevatan.com/yazarlar/elif-ergu/nezih-bey-barut-gibi-583510</w:t>
      </w:r>
      <w:r>
        <w:rPr>
          <w:i/>
          <w:iCs/>
          <w:lang w:val="tr-TR"/>
        </w:rPr>
        <w:t>....</w:t>
      </w:r>
      <w:r>
        <w:rPr>
          <w:i/>
          <w:iCs/>
        </w:rPr>
        <w:t xml:space="preserve">" </w:t>
      </w:r>
      <w:r>
        <w:rPr>
          <w:rStyle w:val="Emphasis"/>
          <w:i w:val="0"/>
          <w:iCs w:val="0"/>
        </w:rPr>
        <w:t>Sabah</w:t>
      </w:r>
      <w:r>
        <w:rPr>
          <w:i/>
          <w:iCs/>
        </w:rPr>
        <w:t xml:space="preserve">, 18 Kasım 2013. TEB Başkanı Erdoğan Çolak açıklamayı "vahim" olarak nitelemiş, Sağlık Bakanlığı'nın acilen GMP, biyoyararlanım ve biyoeşdeğerlik denetimlerine başlamasını, kalitesiz üretim yapan firmanın kapatılıp ürünlerinin toplatılmasını istemiş. https://www.sabah.com.tr/ekonomi/2013/11/18/kalitesiz-ilac-ureten-firma-kapansin...." </w:t>
      </w:r>
      <w:r>
        <w:rPr>
          <w:rStyle w:val="Emphasis"/>
          <w:i w:val="0"/>
          <w:iCs w:val="0"/>
        </w:rPr>
        <w:t>Hürriyet</w:t>
      </w:r>
      <w:r>
        <w:rPr>
          <w:i/>
          <w:iCs/>
        </w:rPr>
        <w:t xml:space="preserve">, 16 Aralık 2013. Barut'un uyarısını "ülkemiz kalitesiz ilaç pazarı olma yolunda hızla ilerliyor" şeklinde özetleyip bu sese kulak verilmesini istemiş. https://www.hurriyet.com.tr/ilacima-dokunma-25368097...... Klimik, "İEİS Başkanı Nezih Barut: Yerli İlaç Zorda." 17 Temmuz 2013. </w:t>
      </w:r>
      <w:hyperlink r:id="rId7" w:history="1">
        <w:r>
          <w:rPr>
            <w:rStyle w:val="Hyperlink"/>
            <w:i/>
            <w:iCs/>
          </w:rPr>
          <w:t>https://www.klimik.org.tr/2013/07/17/ilac-endustrisi-isverenleri-sendikasi-baskani-nezih-barut-yerli-ilac-zorda/.......F</w:t>
        </w:r>
      </w:hyperlink>
      <w:r>
        <w:rPr>
          <w:i/>
          <w:iCs/>
        </w:rPr>
        <w:t>. Cankat Tulunay, https://klinikfarmakoloji.com/aci-ilac/ilaccilarin-patronu-kiral-ciplak-dedi-ve-kiyamet-koptu.</w:t>
      </w:r>
    </w:p>
    <w:p w14:paraId="76052C62" w14:textId="77777777" w:rsidR="00374B86" w:rsidRPr="00754EC9" w:rsidRDefault="00374B86" w:rsidP="00754EC9">
      <w:pPr>
        <w:spacing w:before="100" w:beforeAutospacing="1" w:after="100" w:afterAutospacing="1" w:line="240" w:lineRule="auto"/>
        <w:jc w:val="both"/>
        <w:outlineLvl w:val="0"/>
        <w:rPr>
          <w:rFonts w:cs="Times New Roman"/>
          <w:b/>
          <w:bCs/>
          <w:noProof/>
          <w:kern w:val="36"/>
          <w:sz w:val="48"/>
          <w:szCs w:val="48"/>
          <w14:ligatures w14:val="none"/>
        </w:rPr>
      </w:pPr>
      <w:r>
        <w:rPr>
          <w:rFonts w:cs="Times New Roman"/>
          <w:b/>
          <w:bCs/>
          <w:noProof/>
          <w:kern w:val="36"/>
          <w:sz w:val="32"/>
          <w:szCs w:val="48"/>
          <w14:ligatures w14:val="none"/>
        </w:rPr>
        <w:t xml:space="preserve">9. Dünyanın En Büyük Kalite Krizleri: </w:t>
      </w:r>
    </w:p>
    <w:p w14:paraId="3F849D58"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İlaç düzenleyici sistemlerinin başarısı çoğu zaman yayımlanan kılavuzlarla değerlendirilmektedir. Oysa bilim tarihinde kalite sistemlerini gerçekten sınayan olaylar, günlük ruhsatlandırma işlemleri değil, beklenmeyen krizler olmuştur. Bir düzenleyici otoritenin gerçek gücü, her şey yolunda giderken değil; büyük kalite sorunları ortaya çıktığında anlaşılır.</w:t>
      </w:r>
    </w:p>
    <w:p w14:paraId="5D950877"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Son otuz yılda yaşanan olaylar, dünyanın en gelişmiş düzenleyici sistemlerinin bile zaman zaman ciddi kalite problemleriyle karşı karşıya kalabildiğini göstermektedir. Bu olaylar yalnızca jenerik ilaç sektörünü değil, çok uluslu orijinal ilaç üreticilerini de etkilemiştir. Dolayısıyla kalite sorunu herhangi bir ülkeye veya herhangi bir ilaç grubuna özgü değildir. Kalite, sürekli doğrulanması gereken dinamik bir süreçtir.</w:t>
      </w:r>
    </w:p>
    <w:p w14:paraId="3972B2B8" w14:textId="77777777" w:rsidR="00374B86" w:rsidRPr="00754EC9" w:rsidRDefault="00374B86" w:rsidP="00B66581">
      <w:pPr>
        <w:spacing w:before="100" w:beforeAutospacing="1" w:after="100" w:afterAutospacing="1" w:line="240" w:lineRule="auto"/>
        <w:jc w:val="both"/>
        <w:outlineLvl w:val="1"/>
        <w:rPr>
          <w:rFonts w:cs="Times New Roman"/>
          <w:noProof/>
          <w:kern w:val="0"/>
          <w14:ligatures w14:val="none"/>
        </w:rPr>
      </w:pPr>
      <w:r>
        <w:rPr>
          <w:rFonts w:cs="Times New Roman"/>
          <w:b/>
          <w:noProof/>
          <w:kern w:val="0"/>
          <w:szCs w:val="36"/>
          <w14:ligatures w14:val="none"/>
        </w:rPr>
        <w:t xml:space="preserve">Heparin Felaketi: Küresel Tedarik Zincirinin Çöküşü: </w:t>
      </w:r>
      <w:r>
        <w:rPr>
          <w:rFonts w:cs="Times New Roman"/>
          <w:noProof/>
          <w:kern w:val="0"/>
          <w14:ligatures w14:val="none"/>
        </w:rPr>
        <w:t xml:space="preserve">2007–2008 yıllarında yaşanan kontamine heparin olayı modern ilaç tarihinin en önemli kalite krizlerinden biri olarak kabul edilmektedir. Çin'de üretilen bazı etkin madde partilerine kasıtlı olarak aşırı sülfatlanmış kondroitin sülfat eklenmiş, bu madde rutin kalite analizlerinden kaçabilmiş ve dünyanın birçok ülkesine ihraç edilmiştir. Sonuç son derece ağır olmuştur. ABD başta olmak üzere birçok ülkede yüzlerce ciddi advers reaksiyon bildirilmiş, çok sayıda ölüm olayı meydana gelmiş ve dünya çapında geniş kapsamlı geri çekme işlemleri gerçekleştirilmiştir. Bu olayın en önemli mesajı şudur: </w:t>
      </w:r>
      <w:r>
        <w:rPr>
          <w:rFonts w:cs="Times New Roman"/>
          <w:bCs/>
          <w:noProof/>
          <w:kern w:val="0"/>
          <w14:ligatures w14:val="none"/>
        </w:rPr>
        <w:t>FDA tarafından ruhsatlandırılmış bir ürünün kullanılıyor olması bile, tedarik zincirinin her halkasının mutlak güvence altında olduğu anlamına gelmemektedir.</w:t>
      </w:r>
    </w:p>
    <w:p w14:paraId="003F0F7E" w14:textId="77777777" w:rsidR="00374B86" w:rsidRPr="002066F0" w:rsidRDefault="00374B86" w:rsidP="00B66581">
      <w:pPr>
        <w:spacing w:before="100" w:beforeAutospacing="1" w:after="100" w:afterAutospacing="1" w:line="240" w:lineRule="auto"/>
        <w:jc w:val="both"/>
        <w:outlineLvl w:val="1"/>
        <w:rPr>
          <w:rFonts w:cs="Times New Roman"/>
          <w:noProof/>
          <w:kern w:val="0"/>
          <w14:ligatures w14:val="none"/>
        </w:rPr>
      </w:pPr>
      <w:r>
        <w:rPr>
          <w:rFonts w:cs="Times New Roman"/>
          <w:b/>
          <w:noProof/>
          <w:kern w:val="0"/>
          <w:szCs w:val="36"/>
          <w14:ligatures w14:val="none"/>
        </w:rPr>
        <w:t xml:space="preserve">Ranbaxy Skandalı: GMP Sertifikası Her Zaman Gerçeği Yansıtmayabilir: </w:t>
      </w:r>
      <w:r>
        <w:rPr>
          <w:rFonts w:cs="Times New Roman"/>
          <w:noProof/>
          <w:kern w:val="0"/>
          <w14:ligatures w14:val="none"/>
        </w:rPr>
        <w:t xml:space="preserve">Jenerik ilaç tarihinde belki de en büyük güven kaybına yol açan olaylardan biri Ranbaxy vakasıdır. Dünyanın </w:t>
      </w:r>
      <w:r>
        <w:rPr>
          <w:rFonts w:cs="Times New Roman"/>
          <w:noProof/>
          <w:kern w:val="0"/>
          <w14:ligatures w14:val="none"/>
        </w:rPr>
        <w:lastRenderedPageBreak/>
        <w:t xml:space="preserve">en büyük jenerik ilaç üreticilerinden biri olan Hindistan merkezli Ranbaxy Laboratories'de yıllarca süren sistematik veri manipülasyonu ortaya çıkarılmıştır. FDA soruşturmaları sırasında biyoeşdeğerlik çalışmalarında kullanılan ham verilerin değiştirildiği, analiz sonuçlarının gerçeği yansıtmadığı ve bazı kalite kontrol kayıtlarının sonradan oluşturulduğu belirlenmiştir. 2013 yılında şirket suçlamaları kabul etmiş ve yaklaşık </w:t>
      </w:r>
      <w:r>
        <w:rPr>
          <w:rFonts w:cs="Times New Roman"/>
          <w:bCs/>
          <w:noProof/>
          <w:kern w:val="0"/>
          <w14:ligatures w14:val="none"/>
        </w:rPr>
        <w:t>500 milyon ABD doları</w:t>
      </w:r>
      <w:r>
        <w:rPr>
          <w:rFonts w:cs="Times New Roman"/>
          <w:noProof/>
          <w:kern w:val="0"/>
          <w14:ligatures w14:val="none"/>
        </w:rPr>
        <w:t xml:space="preserve"> ceza ödemiştir. Bu olay yalnızca ekonomik büyüklüğü nedeniyle değil, ilaç sektöründe veri bütünlüğünün ne kadar kritik olduğunu göstermesi bakımından da tarihi önem taşımaktadır.</w:t>
      </w:r>
    </w:p>
    <w:p w14:paraId="0E4215AA" w14:textId="77777777" w:rsidR="00374B86" w:rsidRPr="002066F0" w:rsidRDefault="00374B86" w:rsidP="002066F0">
      <w:pPr>
        <w:spacing w:before="100" w:beforeAutospacing="1" w:after="100" w:afterAutospacing="1" w:line="240" w:lineRule="auto"/>
        <w:jc w:val="both"/>
        <w:rPr>
          <w:rFonts w:cs="Times New Roman"/>
          <w:noProof/>
          <w:kern w:val="0"/>
          <w14:ligatures w14:val="none"/>
        </w:rPr>
      </w:pPr>
      <w:r>
        <w:rPr>
          <w:rFonts w:cs="Times New Roman"/>
          <w:b/>
          <w:bCs/>
          <w:noProof/>
          <w:kern w:val="0"/>
          <w:sz w:val="28"/>
          <w14:ligatures w14:val="none"/>
        </w:rPr>
        <w:t>2015 yılında Avrupa İlaç Ajansı'nın aldığı karar,</w:t>
      </w:r>
      <w:r>
        <w:rPr>
          <w:rFonts w:cs="Times New Roman"/>
          <w:bCs/>
          <w:noProof/>
          <w:kern w:val="0"/>
          <w:sz w:val="28"/>
          <w14:ligatures w14:val="none"/>
        </w:rPr>
        <w:t xml:space="preserve"> biyoeşdeğerlik çalışmalarına duyulan güveni ciddi biçimde sarsmıştır. </w:t>
      </w:r>
      <w:r>
        <w:rPr>
          <w:rFonts w:cs="Times New Roman"/>
          <w:noProof/>
          <w:kern w:val="0"/>
          <w14:ligatures w14:val="none"/>
        </w:rPr>
        <w:t>Hindistan'daki GVK Biosciences araştırma merkezinde yürütülen çok sayıda biyoeşdeğerlik çalışmasının güvenilir olmadığı belirlenmiş ve yüzlerce ilacın ruhsatı Avrupa genelinde askıya alınmıştır. Türk firmalarının GVK Bioscience hangi araştırmaları yaptırdığı kamuoyu tarafından bilinmemektedir.</w:t>
      </w:r>
      <w:r>
        <w:rPr>
          <w:rFonts w:cs="Times New Roman"/>
          <w:bCs/>
          <w:noProof/>
          <w:kern w:val="0"/>
          <w:szCs w:val="36"/>
          <w14:ligatures w14:val="none"/>
        </w:rPr>
        <w:t>ınavı</w:t>
      </w:r>
    </w:p>
    <w:p w14:paraId="1845D9C7"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b/>
          <w:noProof/>
          <w:kern w:val="0"/>
          <w:sz w:val="28"/>
          <w14:ligatures w14:val="none"/>
        </w:rPr>
        <w:t xml:space="preserve">2018 yılında başlayan nitrozamin krizi, son kırk yılın en geniş kapsamlı ilaç geri çekme sürecine dönüşmüştür. </w:t>
      </w:r>
      <w:r>
        <w:rPr>
          <w:rFonts w:cs="Times New Roman"/>
          <w:noProof/>
          <w:kern w:val="0"/>
          <w14:ligatures w14:val="none"/>
        </w:rPr>
        <w:t>İlk olarak bazı valsartan preparatlarında N-Nitrosodimetilamin (NDMA) saptanmış, daha sonra aynı problem ranitidin, metformin, rifampisin, rifapentin ve vareniklin gibi çok sayıda ilaca yayılmıştır. İlginç olan nokta şudur: Bu ürünlerin önemli bir kısmı yıllardır kullanılmaktaydı. Sorun biyoeşdeğerlik değildi. Sorun üretim sürecinde oluşan safsızlıklardı. Bir ürün biyoeşdeğer olabilir, GMP sertifikasına sahip bir tesiste üretilmiş olabilir, ruhsatlı olabilir ama buna rağmen kabul edilemez düzeyde kanserojen safsızlık içerebilir. Dolayısıyla kalite kavramı farmakokinetik performansın çok ötesinde değerlendirilmelidir.</w:t>
      </w:r>
    </w:p>
    <w:p w14:paraId="4AC05FEB" w14:textId="77777777" w:rsidR="004A3501" w:rsidRPr="00754EC9" w:rsidRDefault="004A3501" w:rsidP="00754EC9">
      <w:pPr>
        <w:spacing w:before="100" w:beforeAutospacing="1" w:after="100" w:afterAutospacing="1" w:line="240" w:lineRule="auto"/>
        <w:jc w:val="both"/>
        <w:outlineLvl w:val="0"/>
        <w:rPr>
          <w:rFonts w:cs="Times New Roman"/>
          <w:b/>
          <w:bCs/>
          <w:noProof/>
          <w:kern w:val="36"/>
          <w:sz w:val="48"/>
          <w:szCs w:val="48"/>
          <w14:ligatures w14:val="none"/>
        </w:rPr>
      </w:pPr>
      <w:r>
        <w:rPr>
          <w:rFonts w:cs="Times New Roman"/>
          <w:b/>
          <w:bCs/>
          <w:noProof/>
          <w:kern w:val="36"/>
          <w:sz w:val="32"/>
          <w:szCs w:val="48"/>
          <w14:ligatures w14:val="none"/>
        </w:rPr>
        <w:t>9.1 Digoksin Krizi: Modern Biyoeşdeğerlik Biliminin Doğuşu</w:t>
      </w:r>
    </w:p>
    <w:p w14:paraId="512CA859" w14:textId="77777777" w:rsidR="004A3501" w:rsidRPr="00754EC9" w:rsidRDefault="004A3501"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Bugün biyoeşdeğerlik çalışmaları jenerik ilaç ruhsatlandırmasının vazgeçilmez bir parçası olarak kabul edilmektedir. Ancak bu yaklaşım teorik tartışmalar sonucunda değil, ağır klinik deneyimlerin ardından gelişmiştir. Modern biyoeşdeğerlik biliminin doğmasına yol açan en önemli olaylardan biri 1970'li yıllarda yaşanan </w:t>
      </w:r>
      <w:r>
        <w:rPr>
          <w:rFonts w:cs="Times New Roman"/>
          <w:bCs/>
          <w:noProof/>
          <w:kern w:val="0"/>
          <w14:ligatures w14:val="none"/>
        </w:rPr>
        <w:t>digoksin biyoyararlanım krizi</w:t>
      </w:r>
      <w:r>
        <w:rPr>
          <w:rFonts w:cs="Times New Roman"/>
          <w:noProof/>
          <w:kern w:val="0"/>
          <w14:ligatures w14:val="none"/>
        </w:rPr>
        <w:t xml:space="preserve"> olmuştur.</w:t>
      </w:r>
    </w:p>
    <w:p w14:paraId="3943328D" w14:textId="77777777" w:rsidR="004A3501" w:rsidRPr="00754EC9" w:rsidRDefault="004A3501"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Digoksin uzun yıllardır kalp yetersizliği ve atriyal fibrilasyon tedavisinde kullanılan, dar terapötik indeksli klasik bir kardiyak glikozittir. İlacın terapötik plazma konsantrasyonu ile toksisite oluşturan konsantrasyonu arasındaki fark oldukça küçüktür. Bu nedenle biyoyararlanımdaki küçük değişiklikler bile ciddi klinik sonuçlara yol açabilmektedir.</w:t>
      </w:r>
    </w:p>
    <w:p w14:paraId="61F72B5B" w14:textId="77777777" w:rsidR="004A3501" w:rsidRPr="00754EC9" w:rsidRDefault="004A3501"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1970'li yılların başında farklı üreticilere ait digoksin tabletleri arasında beklenmedik klinik farklılıklar bildirilmeye başlandı. Aynı doz digoksin kullanan bazı hastalarda toksisite gelişirken, diğer hastalarda beklenen terapötik etkinlik elde edilemiyordu. İlk değerlendirmelerde bunun hasta uyumsuzluğu veya bireysel farmakokinetik farklılıklardan kaynaklandığı düşünüldü. Ancak daha ayrıntılı analizler çok farklı bir gerçeği ortaya çıkardı. Sorunun kaynağı etkin madde miktarı değildi. Tabletlerin tamamında etiket üzerinde belirtilen miktarda digoksin bulunuyordu. Sorun, tabletlerin </w:t>
      </w:r>
      <w:r>
        <w:rPr>
          <w:rFonts w:cs="Times New Roman"/>
          <w:bCs/>
          <w:noProof/>
          <w:kern w:val="0"/>
          <w14:ligatures w14:val="none"/>
        </w:rPr>
        <w:t>çözünme davranışı</w:t>
      </w:r>
      <w:r>
        <w:rPr>
          <w:rFonts w:cs="Times New Roman"/>
          <w:noProof/>
          <w:kern w:val="0"/>
          <w14:ligatures w14:val="none"/>
        </w:rPr>
        <w:t xml:space="preserve"> idi. Bazı üreticiler daha küçük partikül büyüklüğüne sahip digoksin kullanırken bazıları daha iri kristaller kullanıyordu. Granülasyon yöntemi, sıkıştırma kuvveti ve tablet üretim teknolojisindeki farklılıklar ilacın gastrointestinal sistemde çözünmesini önemli </w:t>
      </w:r>
      <w:r>
        <w:rPr>
          <w:rFonts w:cs="Times New Roman"/>
          <w:noProof/>
          <w:kern w:val="0"/>
          <w14:ligatures w14:val="none"/>
        </w:rPr>
        <w:lastRenderedPageBreak/>
        <w:t xml:space="preserve">ölçüde değiştiriyordu. Sonuç olarak kimyasal olarak aynı görünen preparatlar klinik olarak farklı davranabiliyordu. Bu olay farmasötik bilim açısından devrim niteliğindeydi. </w:t>
      </w:r>
      <w:r>
        <w:rPr>
          <w:rFonts w:cs="Times New Roman"/>
          <w:bCs/>
          <w:noProof/>
          <w:kern w:val="0"/>
          <w14:ligatures w14:val="none"/>
        </w:rPr>
        <w:t>Bir tablette yazan etkin madde miktarı, hastanın dolaşımına geçen etkin madde miktarı ile aynı şey değildir.</w:t>
      </w:r>
    </w:p>
    <w:p w14:paraId="62471D9F" w14:textId="77777777" w:rsidR="004A3501" w:rsidRPr="00754EC9" w:rsidRDefault="004A3501"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Bu kriz yalnızca digoksin için değil, bütün ilaç geliştirme süreci için dönüm noktası oldu. ABD'de FDA, Avrupa'da ise düzenleyici otoriteler farmasötik eşdeğerliğin tek başına yeterli olmadığı sonucuna ulaştılar. Bundan sonra aynı etkin maddeyi içeren preparatların insan vücudunda da aynı davranışı gösterdiğinin kanıtlanması gerektiği kabul edildi. Modern biyoeşdeğerlik yaklaşımının temelleri büyük ölçüde bu olaydan sonra şekillenmiştir.</w:t>
      </w:r>
    </w:p>
    <w:p w14:paraId="5D483540" w14:textId="77777777" w:rsidR="004A3501" w:rsidRPr="00754EC9" w:rsidRDefault="004A3501"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Bugün C_max, AUC ve %90 güven aralığı esasına dayanan biyoeşdeğerlik değerlendirme sistemi, önemli ölçüde digoksin krizinden çıkarılan derslerin ürünüdür. Bu olayın düzenleyici bilim açısından ikinci önemli sonucu ise kalite kavramının yeniden tanımlanması olmuştur. O tarihe kadar kalite çoğunlukla kimyasal analizlerle değerlendiriliyordu. Bir tablette doğru miktarda etkin madde bulunması, safsızlık sınırlarının uygun olması ve üretim standartlarının sağlanması yeterli kabul ediliyordu.</w:t>
      </w:r>
    </w:p>
    <w:p w14:paraId="362FC5F2" w14:textId="77777777" w:rsidR="004A3501" w:rsidRPr="00754EC9" w:rsidRDefault="004A3501"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Digoksin krizinin etkileri günümüzde de devam etmektedir. Özellikle dar terapötik indeksli ilaçlarda biyoeşdeğerlik sınırlarının daraltılması, çözünme testlerinin daha ayrıntılı yapılması ve üretim değişikliklerinin sıkı biçimde değerlendirilmesi büyük ölçüde bu tarihsel deneyimin sonucudur.</w:t>
      </w:r>
    </w:p>
    <w:p w14:paraId="61C9ABC1" w14:textId="77777777" w:rsidR="004A3501" w:rsidRPr="00754EC9" w:rsidRDefault="004A3501" w:rsidP="00754EC9">
      <w:pPr>
        <w:spacing w:before="100" w:beforeAutospacing="1" w:after="100" w:afterAutospacing="1" w:line="240" w:lineRule="auto"/>
        <w:jc w:val="both"/>
        <w:outlineLvl w:val="0"/>
        <w:rPr>
          <w:rFonts w:cs="Times New Roman"/>
          <w:b/>
          <w:bCs/>
          <w:noProof/>
          <w:kern w:val="36"/>
          <w:sz w:val="48"/>
          <w:szCs w:val="48"/>
          <w14:ligatures w14:val="none"/>
        </w:rPr>
      </w:pPr>
      <w:r>
        <w:rPr>
          <w:rFonts w:cs="Times New Roman"/>
          <w:b/>
          <w:bCs/>
          <w:noProof/>
          <w:kern w:val="36"/>
          <w:sz w:val="32"/>
          <w:szCs w:val="48"/>
          <w14:ligatures w14:val="none"/>
        </w:rPr>
        <w:t xml:space="preserve">9.2 Avustralya Fenitoin Krizi: </w:t>
      </w:r>
    </w:p>
    <w:p w14:paraId="10CEF8F6" w14:textId="77777777" w:rsidR="004A3501" w:rsidRPr="00754EC9" w:rsidRDefault="004A3501"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Farmasötik teknolojide uzun yıllar boyunca yardımcı maddelerin yalnızca tabletin şekillendirilmesine hizmet eden, farmakolojik açıdan "inert" bileşenler olduğu kabul edilmiştir. Bu yaklaşım ilaç geliştirme sürecinde onlarca yıl boyunca büyük ölçüde sorgulanmadan benimsenmiştir. Oysa klinik uygulamada yaşanan bazı olaylar, yardımcı maddelerin yalnızca üretim kolaylığı sağlayan pasif bileşenler olmadığını, ilacın biyoyararlanımını ve dolayısıyla klinik etkinliğini belirgin biçimde değiştirebildiğini göstermiştir. Bunun en çarpıcı örneklerinden biri 1960'lı ve 1970'li yıllarda Avustralya'da yaşanan fenitoin krizidir.</w:t>
      </w:r>
    </w:p>
    <w:p w14:paraId="6F31B3C8" w14:textId="77777777" w:rsidR="004A3501" w:rsidRPr="00754EC9" w:rsidRDefault="004A3501"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Fenitoin, epilepsi tedavisinde uzun yıllardır kullanılan klasik bir antiepileptiktir. Digoksin gibi fenitoin de dar terapötik indekse sahip ilaçlardan biridir. Terapötik plazma düzeyleri ile toksisite oluşturan düzeyler arasındaki fark oldukça küçüktür. Bu nedenle biyoyararlanımdaki görece küçük değişiklikler bile ciddi nörolojik toksisiteye yol açabilmektedir.</w:t>
      </w:r>
    </w:p>
    <w:p w14:paraId="60CAE542" w14:textId="77777777" w:rsidR="004A3501" w:rsidRPr="00754EC9" w:rsidRDefault="004A3501"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Avustralya'da aynı ticari isim altında üretilen fenitoin preparatının üretiminde etkin madde değiştirilmemiş, doz değiştirilmemiş ve üretici firma değişmemişti. Yapılan tek değişiklik, tablette kullanılan yardımcı maddelerden birinin değiştirilmesiydi. Üretici, farmasötik açıdan eşdeğer olduğunu düşündüğü bir yardımcı maddeyi başka bir yardımcı madde ile değiştirmişti. Kimyasal açıdan bakıldığında tablet aynı görünüyordu. Ancak hastalarda beklenmeyen bir tablo ortaya çıktı.</w:t>
      </w:r>
    </w:p>
    <w:p w14:paraId="62C9FA81" w14:textId="77777777" w:rsidR="004A3501" w:rsidRPr="00754EC9" w:rsidRDefault="004A3501"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Kısa süre içerisinde çok sayıda epilepsi hastasında;</w:t>
      </w:r>
    </w:p>
    <w:p w14:paraId="799C056B" w14:textId="77777777" w:rsidR="004A3501" w:rsidRPr="00754EC9" w:rsidRDefault="004A3501" w:rsidP="00754EC9">
      <w:pPr>
        <w:numPr>
          <w:ilvl w:val="0"/>
          <w:numId w:val="14"/>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belirgin nistagmus, </w:t>
      </w:r>
    </w:p>
    <w:p w14:paraId="7188E2EA" w14:textId="77777777" w:rsidR="004A3501" w:rsidRPr="00754EC9" w:rsidRDefault="004A3501" w:rsidP="00754EC9">
      <w:pPr>
        <w:numPr>
          <w:ilvl w:val="0"/>
          <w:numId w:val="14"/>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lastRenderedPageBreak/>
        <w:t xml:space="preserve">diplopi, </w:t>
      </w:r>
    </w:p>
    <w:p w14:paraId="2B760D64" w14:textId="77777777" w:rsidR="004A3501" w:rsidRPr="00754EC9" w:rsidRDefault="004A3501" w:rsidP="00754EC9">
      <w:pPr>
        <w:numPr>
          <w:ilvl w:val="0"/>
          <w:numId w:val="14"/>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dizartri, </w:t>
      </w:r>
    </w:p>
    <w:p w14:paraId="6AEC7BD5" w14:textId="77777777" w:rsidR="004A3501" w:rsidRPr="00754EC9" w:rsidRDefault="004A3501" w:rsidP="00754EC9">
      <w:pPr>
        <w:numPr>
          <w:ilvl w:val="0"/>
          <w:numId w:val="14"/>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ataksi, </w:t>
      </w:r>
    </w:p>
    <w:p w14:paraId="0D5797AA" w14:textId="77777777" w:rsidR="004A3501" w:rsidRPr="00754EC9" w:rsidRDefault="004A3501" w:rsidP="00754EC9">
      <w:pPr>
        <w:numPr>
          <w:ilvl w:val="0"/>
          <w:numId w:val="14"/>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baş dönmesi, </w:t>
      </w:r>
    </w:p>
    <w:p w14:paraId="7461FCD7" w14:textId="77777777" w:rsidR="004A3501" w:rsidRPr="00754EC9" w:rsidRDefault="004A3501" w:rsidP="00754EC9">
      <w:pPr>
        <w:numPr>
          <w:ilvl w:val="0"/>
          <w:numId w:val="14"/>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bilinç bulanıklığı </w:t>
      </w:r>
    </w:p>
    <w:p w14:paraId="6E2DCB20" w14:textId="77777777" w:rsidR="004A3501" w:rsidRPr="0081657F" w:rsidRDefault="004A3501" w:rsidP="00754EC9">
      <w:pPr>
        <w:numPr>
          <w:ilvl w:val="0"/>
          <w:numId w:val="14"/>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ve ağır fenitoin toksisitesi bildirilmeye başlandı.</w:t>
      </w:r>
    </w:p>
    <w:p w14:paraId="6DD6709A" w14:textId="77777777" w:rsidR="004A3501" w:rsidRPr="00754EC9" w:rsidRDefault="004A3501"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Başlangıçta bunun doz aşımı, hasta uyumsuzluğu veya ilaç etkileşimlerinden kaynaklandığı düşünüldü. Ancak yapılan farmakokinetik incelemeler bambaşka bir gerçeği ortaya koydu.Tabletin etkin maddesi, dozu ve üretici aynıydı. Değişen tek unsur yardımcı maddeydi.</w:t>
      </w:r>
    </w:p>
    <w:p w14:paraId="56AAA607" w14:textId="77777777" w:rsidR="004A3501" w:rsidRPr="00754EC9" w:rsidRDefault="004A3501"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Buna rağmen hastalarda ölçülen serum fenitoin konsantrasyonları önceki formülasyona göre birkaç kat artmıştı. Yardımcı maddenin değiştirilmesi tabletin çözünme hızını ve gastrointestinal emilim özelliklerini değiştirmiş, bunun sonucunda biyoyararlanım belirgin biçimde yükselmişti. Klinik açıdan güvenli kabul edilen dozlar toksik hale gelmişti.</w:t>
      </w:r>
    </w:p>
    <w:p w14:paraId="6BB02B8A" w14:textId="77777777" w:rsidR="004A3501" w:rsidRPr="00754EC9" w:rsidRDefault="004A3501"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Bu olay farmasötik bilim açısından son derece önemliydi. Çünkü ilk kez yardımcı maddelerin yalnızca "dolgu maddesi" olmadığı, ilacın farmakokinetik davranışını belirleyebileceği açık biçimde gösterilmişti. Bugün farmasötik teknoloji açısından kabul edilen temel gerçeklerden biri şudur: </w:t>
      </w:r>
      <w:r>
        <w:rPr>
          <w:rFonts w:cs="Times New Roman"/>
          <w:bCs/>
          <w:noProof/>
          <w:kern w:val="0"/>
          <w14:ligatures w14:val="none"/>
        </w:rPr>
        <w:t>Etkin madde ilacın ne yapacağını belirler; yardımcı maddeler ise bunu nasıl yapacağını belirler.</w:t>
      </w:r>
    </w:p>
    <w:p w14:paraId="60833488" w14:textId="77777777" w:rsidR="004A3501" w:rsidRPr="00754EC9" w:rsidRDefault="004A3501"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Gerçekten de yardımcı maddeler;</w:t>
      </w:r>
    </w:p>
    <w:p w14:paraId="248338B9" w14:textId="77777777" w:rsidR="004A3501" w:rsidRPr="00754EC9" w:rsidRDefault="004A3501" w:rsidP="00754EC9">
      <w:pPr>
        <w:numPr>
          <w:ilvl w:val="0"/>
          <w:numId w:val="15"/>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tabletin parçalanma süresini, </w:t>
      </w:r>
    </w:p>
    <w:p w14:paraId="5923D996" w14:textId="77777777" w:rsidR="004A3501" w:rsidRPr="00754EC9" w:rsidRDefault="004A3501" w:rsidP="00754EC9">
      <w:pPr>
        <w:numPr>
          <w:ilvl w:val="0"/>
          <w:numId w:val="15"/>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çözünme hızını, </w:t>
      </w:r>
    </w:p>
    <w:p w14:paraId="4F5F3B2A" w14:textId="77777777" w:rsidR="004A3501" w:rsidRPr="00754EC9" w:rsidRDefault="004A3501" w:rsidP="00754EC9">
      <w:pPr>
        <w:numPr>
          <w:ilvl w:val="0"/>
          <w:numId w:val="15"/>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mide boşalma davranışını, </w:t>
      </w:r>
    </w:p>
    <w:p w14:paraId="136D94C6" w14:textId="77777777" w:rsidR="004A3501" w:rsidRPr="00754EC9" w:rsidRDefault="004A3501" w:rsidP="00754EC9">
      <w:pPr>
        <w:numPr>
          <w:ilvl w:val="0"/>
          <w:numId w:val="15"/>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barsak içindeki dağılmasını, </w:t>
      </w:r>
    </w:p>
    <w:p w14:paraId="6DF13396" w14:textId="77777777" w:rsidR="004A3501" w:rsidRPr="00754EC9" w:rsidRDefault="004A3501" w:rsidP="00754EC9">
      <w:pPr>
        <w:numPr>
          <w:ilvl w:val="0"/>
          <w:numId w:val="15"/>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nem stabilitesini, </w:t>
      </w:r>
    </w:p>
    <w:p w14:paraId="59550284" w14:textId="77777777" w:rsidR="004A3501" w:rsidRPr="00754EC9" w:rsidRDefault="004A3501" w:rsidP="00754EC9">
      <w:pPr>
        <w:numPr>
          <w:ilvl w:val="0"/>
          <w:numId w:val="15"/>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kimyasal stabiliteyi, </w:t>
      </w:r>
    </w:p>
    <w:p w14:paraId="2D4E79EA" w14:textId="77777777" w:rsidR="004A3501" w:rsidRPr="0081657F" w:rsidRDefault="004A3501" w:rsidP="00754EC9">
      <w:pPr>
        <w:numPr>
          <w:ilvl w:val="0"/>
          <w:numId w:val="15"/>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hatta bazı durumlarda intestinal permeabiliteyi etkileyebilmektedir.</w:t>
      </w:r>
    </w:p>
    <w:p w14:paraId="36A7D86E" w14:textId="77777777" w:rsidR="004A3501" w:rsidRPr="00754EC9" w:rsidRDefault="004A3501"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Bu nedenle modern düzenleyici otoriteler, jenerik ilaç ruhsatlandırılırken yalnızca etkin madde miktarını değil, yardımcı madde kompozisyonunu da ayrıntılı olarak değerlendirmektedir. Özellikle </w:t>
      </w:r>
      <w:r>
        <w:rPr>
          <w:rFonts w:cs="Times New Roman"/>
          <w:bCs/>
          <w:noProof/>
          <w:kern w:val="0"/>
          <w14:ligatures w14:val="none"/>
        </w:rPr>
        <w:t>BCS Sınıf III</w:t>
      </w:r>
      <w:r>
        <w:rPr>
          <w:rFonts w:cs="Times New Roman"/>
          <w:noProof/>
          <w:kern w:val="0"/>
          <w14:ligatures w14:val="none"/>
        </w:rPr>
        <w:t xml:space="preserve"> ilaçlarda yardımcı maddelerin emilim üzerine etkisi daha belirgin olabileceğinden, EMA ve FDA bu ürünlerde yardımcı madde değişikliklerine çok daha temkinli yaklaşmaktadır.</w:t>
      </w:r>
    </w:p>
    <w:p w14:paraId="6026C64E" w14:textId="77777777" w:rsidR="004A3501" w:rsidRPr="00754EC9" w:rsidRDefault="004A3501"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Fenitoin olayı ayrıca üretim değişikliklerinin de yeniden değerlendirilmesi gerektiğini göstermiştir. Bir üretici yardımcı maddede değişiklik yapmayı teknik açıdan önemsiz görebilir. Ancak klinik farmakoloji açısından bu değişiklik son derece önemli olabilir. Günümüzde varyasyon yönetimine ilişkin düzenleyici yaklaşımın temelinde büyük ölçüde bu tarihsel deneyimler bulunmaktadır.</w:t>
      </w:r>
    </w:p>
    <w:p w14:paraId="4A929014" w14:textId="77777777" w:rsidR="004A3501" w:rsidRPr="00754EC9" w:rsidRDefault="004A3501"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Fenitoin krizi aynı zamanda düzenleyici bilim açısından önemli bir paradigma değişikliğine yol açmıştır. O tarihten sonra yardımcı maddeler yalnızca üretim teknolojisinin konusu olmaktan </w:t>
      </w:r>
      <w:r>
        <w:rPr>
          <w:rFonts w:cs="Times New Roman"/>
          <w:noProof/>
          <w:kern w:val="0"/>
          <w14:ligatures w14:val="none"/>
        </w:rPr>
        <w:lastRenderedPageBreak/>
        <w:t>çıkmış, biyoyararlanımın ve terapötik eşdeğerliğin ayrılmaz bir bileşeni olarak değerlendirilmeye başlanmıştır. Bugün geliştirilen her yeni jenerik üründe yardımcı maddelerin niteliği, miktarı ve farmasötik fonksiyonları ayrıntılı biçimde incelenmekte; özellikle modifiye salımlı preparatlar, ağızda dağılan tabletler ve kompleks dozaj formlarında yardımcı maddelerin rolü referans ürünle karşılaştırmalı olarak değerlendirilmektedir.</w:t>
      </w:r>
    </w:p>
    <w:p w14:paraId="73AE1EC3" w14:textId="77777777" w:rsidR="004A3501" w:rsidRPr="00754EC9" w:rsidRDefault="004A3501" w:rsidP="00754EC9">
      <w:pPr>
        <w:spacing w:before="100" w:beforeAutospacing="1" w:after="100" w:afterAutospacing="1" w:line="240" w:lineRule="auto"/>
        <w:jc w:val="both"/>
        <w:outlineLvl w:val="0"/>
        <w:rPr>
          <w:rFonts w:cs="Times New Roman"/>
          <w:b/>
          <w:bCs/>
          <w:noProof/>
          <w:kern w:val="36"/>
          <w:sz w:val="48"/>
          <w:szCs w:val="48"/>
          <w14:ligatures w14:val="none"/>
        </w:rPr>
      </w:pPr>
      <w:r>
        <w:rPr>
          <w:rFonts w:cs="Times New Roman"/>
          <w:b/>
          <w:bCs/>
          <w:noProof/>
          <w:kern w:val="36"/>
          <w:sz w:val="32"/>
          <w:szCs w:val="48"/>
          <w14:ligatures w14:val="none"/>
        </w:rPr>
        <w:t>9.3 Bupropion XL 300 mg Olayı: FDA'nın Kendi Onayladığı Bir Jenerik İlacı Geri Çekmesi</w:t>
      </w:r>
    </w:p>
    <w:p w14:paraId="79DF1453" w14:textId="77777777" w:rsidR="004A3501" w:rsidRPr="00754EC9" w:rsidRDefault="004A3501"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Bupropion, depresyon tedavisinde ve sigara bırakma programlarında kullanılan, norepinefrin ve dopamin geri alım inhibitörü özellikleri taşıyan bir antidepresandır. İlacın uzatılmış salımlı (extended-release, XL) formülasyonu, etkin maddenin yaklaşık 24 saat boyunca kontrollü şekilde salınmasını sağlayan karmaşık bir farmasötik teknolojiye dayanmaktadır. Bu nedenle Bupropion XL yalnızca etkin madde miktarının değil, salım kinetiğinin de doğru şekilde taklit edilmesini gerektiren ürünlerden biridir.</w:t>
      </w:r>
    </w:p>
    <w:p w14:paraId="7E1BAD28" w14:textId="77777777" w:rsidR="004A3501" w:rsidRPr="00754EC9" w:rsidRDefault="004A3501"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2006 yılında FDA, Budeprion XL 300 mg adlı jenerik preparata biyoeşdeğerlik verilerine dayanarak ruhsat verdi. Başlangıçta ürünün referans preparat olan </w:t>
      </w:r>
      <w:r>
        <w:rPr>
          <w:rFonts w:cs="Times New Roman"/>
          <w:bCs/>
          <w:noProof/>
          <w:kern w:val="0"/>
          <w14:ligatures w14:val="none"/>
        </w:rPr>
        <w:t>Wellbutrin XL®</w:t>
      </w:r>
      <w:r>
        <w:rPr>
          <w:rFonts w:cs="Times New Roman"/>
          <w:noProof/>
          <w:kern w:val="0"/>
          <w14:ligatures w14:val="none"/>
        </w:rPr>
        <w:t xml:space="preserve"> ile terapötik açıdan eşdeğer olduğu kabul edildi. Ancak kısa süre sonra klinisyenlerden ve hastalardan beklenmedik bildirimler gelmeye başladı.</w:t>
      </w:r>
    </w:p>
    <w:p w14:paraId="06CEE539" w14:textId="77777777" w:rsidR="004A3501" w:rsidRPr="00754EC9" w:rsidRDefault="004A3501"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Hastalar, jenerik preparata geçtikten sonra;</w:t>
      </w:r>
    </w:p>
    <w:p w14:paraId="4A3C81C4" w14:textId="77777777" w:rsidR="004A3501" w:rsidRPr="00754EC9" w:rsidRDefault="004A3501" w:rsidP="00754EC9">
      <w:pPr>
        <w:numPr>
          <w:ilvl w:val="0"/>
          <w:numId w:val="16"/>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depresyon belirtilerinin yeniden ortaya çıktığını, </w:t>
      </w:r>
    </w:p>
    <w:p w14:paraId="0E4B0FAD" w14:textId="77777777" w:rsidR="004A3501" w:rsidRPr="00754EC9" w:rsidRDefault="004A3501" w:rsidP="00754EC9">
      <w:pPr>
        <w:numPr>
          <w:ilvl w:val="0"/>
          <w:numId w:val="16"/>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anksiyetenin arttığını, </w:t>
      </w:r>
    </w:p>
    <w:p w14:paraId="70A520A8" w14:textId="77777777" w:rsidR="004A3501" w:rsidRPr="00754EC9" w:rsidRDefault="004A3501" w:rsidP="00754EC9">
      <w:pPr>
        <w:numPr>
          <w:ilvl w:val="0"/>
          <w:numId w:val="16"/>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uyku bozukluklarının geliştiğini, </w:t>
      </w:r>
    </w:p>
    <w:p w14:paraId="09E2D1CF" w14:textId="77777777" w:rsidR="004A3501" w:rsidRPr="00754EC9" w:rsidRDefault="004A3501" w:rsidP="00754EC9">
      <w:pPr>
        <w:numPr>
          <w:ilvl w:val="0"/>
          <w:numId w:val="16"/>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baş ağrısı ve irritabilitenin belirginleştiğini, </w:t>
      </w:r>
    </w:p>
    <w:p w14:paraId="5D97A094" w14:textId="77777777" w:rsidR="004A3501" w:rsidRPr="0091117A" w:rsidRDefault="004A3501" w:rsidP="00754EC9">
      <w:pPr>
        <w:numPr>
          <w:ilvl w:val="0"/>
          <w:numId w:val="16"/>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bazı hastalarda ise ilacın etkisinin günün ilerleyen saatlerinde kaybolduğunu bildirmeye başladılar.</w:t>
      </w:r>
    </w:p>
    <w:p w14:paraId="1CF83851" w14:textId="77777777" w:rsidR="004A3501" w:rsidRPr="00754EC9" w:rsidRDefault="004A3501"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İlk değerlendirmelerde bu şikâyetlerin psikolojik beklentiden (nocebo etkisi), hastaların marka değişikliğine direnç göstermesinden veya bireysel değişkenlikten kaynaklanabileceği düşünüldü. Çünkü ürün FDA tarafından biyoeşdeğer kabul edilmişti ama şikâyetler giderek artınca FDA olağan dışı bir karar alarak ürünün yeniden biyoeşdeğerlik çalışmasına alınmasına karar verdi.Yapılan yeni çalışmalar beklenmedik bir sonucu ortaya çıkardı. Budeprion XL 300 mg'ın referans ürünle biyoeşdeğer olmadığı gösterildi. Sorun etkin madde miktarında değildi. Sorun uzatılmış salım profilindeydi.</w:t>
      </w:r>
    </w:p>
    <w:p w14:paraId="79953A23" w14:textId="77777777" w:rsidR="004A3501" w:rsidRPr="00754EC9" w:rsidRDefault="004A3501"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Tablet etkin maddeyi gün boyunca referans preparattan farklı hızda salıyordu. Özellikle ilk saatlerde ilacın kana geçiş hızı referans üründen anlamlı şekilde farklıydı. Bu nedenle teorik olarak aynı dozu içeren iki preparat klinik açıdan aynı performansı göstermiyordu.</w:t>
      </w:r>
    </w:p>
    <w:p w14:paraId="6CE45230" w14:textId="77777777" w:rsidR="004A3501" w:rsidRPr="00754EC9" w:rsidRDefault="004A3501"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FDA bunun üzerine 2012 yılında ilgili jenerik ürünün terapötik eşdeğerlik derecesini geri çekti ve ürün piyasadan kaldırıldı.</w:t>
      </w:r>
    </w:p>
    <w:p w14:paraId="0E31F6D9" w14:textId="77777777" w:rsidR="004A3501" w:rsidRPr="00754EC9" w:rsidRDefault="004A3501"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lastRenderedPageBreak/>
        <w:t>Bupropion olayı ayrıca karmaşık salım sistemlerinin klasik biyoeşdeğerlik yaklaşımıyla her zaman yeterince değerlendirilemeyebileceğini de göstermiştir. Bu olaydan sonra FDA, modifiye salımlı preparatlar için biyoeşdeğerlik kılavuzlarını yeniden gözden geçirmiş, özellikle çok fazlı salım sistemlerinde daha ayrıntılı farmakokinetik değerlendirmeler istemeye başlamıştır.</w:t>
      </w:r>
    </w:p>
    <w:p w14:paraId="2DD79C9A" w14:textId="77777777" w:rsidR="004A3501" w:rsidRPr="00754EC9" w:rsidRDefault="004A3501"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Bugün FDA'nın uyguladığı yaşam döngüsü yaklaşımı (lifecycle management) büyük ölçüde bu tür deneyimlerden beslenmektedir. Bir ilaca ruhsat verilmiş olması, bilimsel değerlendirmenin sonsuza kadar değişmeyeceği anlamına gelmez. Yeni klinik veriler, farmakovijilans bildirimleri, üretim değişiklikleri veya yeni analitik yöntemler mevcut değerlendirmelerin yeniden gözden geçirilmesini gerektirebilir.</w:t>
      </w:r>
    </w:p>
    <w:p w14:paraId="439F9B82" w14:textId="77777777" w:rsidR="004A3501" w:rsidRPr="00754EC9" w:rsidRDefault="004A3501" w:rsidP="00754EC9">
      <w:pPr>
        <w:spacing w:before="100" w:beforeAutospacing="1" w:after="100" w:afterAutospacing="1" w:line="240" w:lineRule="auto"/>
        <w:jc w:val="both"/>
        <w:outlineLvl w:val="0"/>
        <w:rPr>
          <w:rFonts w:cs="Times New Roman"/>
          <w:b/>
          <w:bCs/>
          <w:noProof/>
          <w:kern w:val="36"/>
          <w:sz w:val="48"/>
          <w:szCs w:val="48"/>
          <w14:ligatures w14:val="none"/>
        </w:rPr>
      </w:pPr>
      <w:r>
        <w:rPr>
          <w:rFonts w:cs="Times New Roman"/>
          <w:b/>
          <w:bCs/>
          <w:noProof/>
          <w:kern w:val="36"/>
          <w:sz w:val="32"/>
          <w:szCs w:val="48"/>
          <w14:ligatures w14:val="none"/>
        </w:rPr>
        <w:t xml:space="preserve">9.4 Levotiroksin (Levothyrox®) Krizi: </w:t>
      </w:r>
    </w:p>
    <w:p w14:paraId="5D1DA2B7" w14:textId="77777777" w:rsidR="004A3501" w:rsidRPr="00754EC9" w:rsidRDefault="004A3501"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İlaç düzenleme biliminin karşı karşıya olduğu en önemli sorunlardan biri, farmakokinetik eşdeğerlik ile hastaların klinik deneyiminin her zaman örtüşmemesidir. Bunun en dikkat çekici örneklerinden biri 2017 yılında Fransa'da yaşanan </w:t>
      </w:r>
      <w:r>
        <w:rPr>
          <w:rFonts w:cs="Times New Roman"/>
          <w:bCs/>
          <w:noProof/>
          <w:kern w:val="0"/>
          <w14:ligatures w14:val="none"/>
        </w:rPr>
        <w:t>Levothyrox® formülasyon krizi</w:t>
      </w:r>
      <w:r>
        <w:rPr>
          <w:rFonts w:cs="Times New Roman"/>
          <w:noProof/>
          <w:kern w:val="0"/>
          <w14:ligatures w14:val="none"/>
        </w:rPr>
        <w:t xml:space="preserve"> olmuştur. Bu olay, biyoeşdeğerlik kavramının sınırlarını, hasta beklentilerinin önemini ve düzenleyici iletişimin kritik rolünü gösteren tarihi bir örnek olarak kabul edilmektedir.</w:t>
      </w:r>
    </w:p>
    <w:p w14:paraId="54F8342D" w14:textId="77777777" w:rsidR="004A3501" w:rsidRPr="00754EC9" w:rsidRDefault="004A3501"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Levotiroksin, hipotiroidi tedavisinde kullanılan ve dünya genelinde milyonlarca hasta tarafından her gün alınan bir ilaçtır. Tiroid hormon replasmanında kullanılan bu molekül dar terapötik indeksli ilaçlar arasında değerlendirilmektedir. Serum TSH düzeylerinde oluşabilecek küçük değişiklikler bile hastalarda belirgin klinik farklılıklara yol açabilmektedir. Bu nedenle levotiroksin preparatlarında formülasyon değişiklikleri düzenleyici otoriteler tarafından her zaman dikkatle değerlendirilmektedir.</w:t>
      </w:r>
    </w:p>
    <w:p w14:paraId="50F67930" w14:textId="77777777" w:rsidR="004A3501" w:rsidRPr="00754EC9" w:rsidRDefault="004A3501"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2017 yılında üretici firma, etkin maddeyi değiştirmeksizin ilacın yardımcı maddelerinde değişiklik yaptı. Başlıca amaç, ürünün raf ömrünü uzatmak ve seri üretimler arasında daha iyi stabilite sağlamaktı. Laktoz yerine mannitol ve sitrik asit içeren yeni bir formülasyon geliştirildi. Üretici firma ve Fransız düzenleyici otoritesi (</w:t>
      </w:r>
      <w:r>
        <w:rPr>
          <w:rFonts w:cs="Times New Roman"/>
          <w:bCs/>
          <w:noProof/>
          <w:kern w:val="0"/>
          <w14:ligatures w14:val="none"/>
        </w:rPr>
        <w:t>ANSM</w:t>
      </w:r>
      <w:r>
        <w:rPr>
          <w:rFonts w:cs="Times New Roman"/>
          <w:noProof/>
          <w:kern w:val="0"/>
          <w14:ligatures w14:val="none"/>
        </w:rPr>
        <w:t>) tarafından yapılan değerlendirmelerde yeni preparatın eski ürün ile biyoeşdeğer olduğu gösterildi ve yeni formülasyon piyasaya sunuldu.</w:t>
      </w:r>
    </w:p>
    <w:p w14:paraId="1A941449" w14:textId="77777777" w:rsidR="004A3501" w:rsidRPr="00754EC9" w:rsidRDefault="004A3501"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Ancak beklenmedik bir gelişme yaşandı.</w:t>
      </w:r>
    </w:p>
    <w:p w14:paraId="3DDAF2EF" w14:textId="77777777" w:rsidR="004A3501" w:rsidRPr="00754EC9" w:rsidRDefault="004A3501"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Kısa süre içinde on binlerce hasta;</w:t>
      </w:r>
    </w:p>
    <w:p w14:paraId="13A6A06E" w14:textId="77777777" w:rsidR="004A3501" w:rsidRPr="00754EC9" w:rsidRDefault="004A3501" w:rsidP="00754EC9">
      <w:pPr>
        <w:numPr>
          <w:ilvl w:val="0"/>
          <w:numId w:val="17"/>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yorgunluk, </w:t>
      </w:r>
    </w:p>
    <w:p w14:paraId="7A655B1F" w14:textId="77777777" w:rsidR="004A3501" w:rsidRPr="00754EC9" w:rsidRDefault="004A3501" w:rsidP="00754EC9">
      <w:pPr>
        <w:numPr>
          <w:ilvl w:val="0"/>
          <w:numId w:val="17"/>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baş ağrısı, </w:t>
      </w:r>
    </w:p>
    <w:p w14:paraId="1D65B930" w14:textId="77777777" w:rsidR="004A3501" w:rsidRPr="00754EC9" w:rsidRDefault="004A3501" w:rsidP="00754EC9">
      <w:pPr>
        <w:numPr>
          <w:ilvl w:val="0"/>
          <w:numId w:val="17"/>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kas ağrıları, </w:t>
      </w:r>
    </w:p>
    <w:p w14:paraId="627E22C1" w14:textId="77777777" w:rsidR="004A3501" w:rsidRPr="00754EC9" w:rsidRDefault="004A3501" w:rsidP="00754EC9">
      <w:pPr>
        <w:numPr>
          <w:ilvl w:val="0"/>
          <w:numId w:val="17"/>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saç dökülmesi, </w:t>
      </w:r>
    </w:p>
    <w:p w14:paraId="1C08286C" w14:textId="77777777" w:rsidR="004A3501" w:rsidRPr="00754EC9" w:rsidRDefault="004A3501" w:rsidP="00754EC9">
      <w:pPr>
        <w:numPr>
          <w:ilvl w:val="0"/>
          <w:numId w:val="17"/>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çarpıntı, </w:t>
      </w:r>
    </w:p>
    <w:p w14:paraId="000376B4" w14:textId="77777777" w:rsidR="004A3501" w:rsidRPr="00754EC9" w:rsidRDefault="004A3501" w:rsidP="00754EC9">
      <w:pPr>
        <w:numPr>
          <w:ilvl w:val="0"/>
          <w:numId w:val="17"/>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uyku bozuklukları, </w:t>
      </w:r>
    </w:p>
    <w:p w14:paraId="1FED8519" w14:textId="77777777" w:rsidR="004A3501" w:rsidRPr="00754EC9" w:rsidRDefault="004A3501" w:rsidP="00754EC9">
      <w:pPr>
        <w:numPr>
          <w:ilvl w:val="0"/>
          <w:numId w:val="17"/>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depresif belirtiler, </w:t>
      </w:r>
    </w:p>
    <w:p w14:paraId="7617E247" w14:textId="77777777" w:rsidR="004A3501" w:rsidRPr="00754EC9" w:rsidRDefault="004A3501" w:rsidP="00754EC9">
      <w:pPr>
        <w:numPr>
          <w:ilvl w:val="0"/>
          <w:numId w:val="17"/>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kilo değişiklikleri </w:t>
      </w:r>
    </w:p>
    <w:p w14:paraId="0D50AF6D" w14:textId="77777777" w:rsidR="004A3501" w:rsidRPr="00754EC9" w:rsidRDefault="004A3501"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gibi yakınmalar bildirmeye başladı.</w:t>
      </w:r>
    </w:p>
    <w:p w14:paraId="6B669A6C" w14:textId="77777777" w:rsidR="004A3501" w:rsidRPr="00754EC9" w:rsidRDefault="004A3501"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lastRenderedPageBreak/>
        <w:t>Fransa'da birkaç ay içerisinde yüz bini aşkın spontan bildirim yapılması, olayı yalnızca farmakovijilans açısından değil, sağlık politikası açısından da ulusal bir krize dönüştürdü. Medya konuyu geniş biçimde gündeme taşıdı; hasta dernekleri ve meslek örgütleri yoğun tartışmalar başlattı. Sonuçta eski formülasyonun yeniden piyasaya verilmesi yönünde güçlü toplumsal baskı oluştu.</w:t>
      </w:r>
    </w:p>
    <w:p w14:paraId="5A3F196B" w14:textId="77777777" w:rsidR="004A3501" w:rsidRPr="00754EC9" w:rsidRDefault="004A3501"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Bu olayın en dikkat çekici yönü, yapılan ayrıntılı farmakokinetik analizlerde yeni formülasyonun biyoeşdeğerlik kriterlerini karşılamaya devam etmesiydi. Düzenleyici açıdan bakıldığında ürün ruhsat kriterlerini sağlamaktaydı. Buna rağmen çok sayıda hasta yeni preparatla kendini daha kötü hissettiğini ifade ediyordu.</w:t>
      </w:r>
    </w:p>
    <w:p w14:paraId="41BF0533" w14:textId="77777777" w:rsidR="004A3501" w:rsidRPr="00754EC9" w:rsidRDefault="004A3501"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Peki bu çelişki nasıl açıklanabilirdi? Bu konuda üç temel görüş ortaya çıktı. </w:t>
      </w:r>
      <w:r>
        <w:rPr>
          <w:rFonts w:cs="Times New Roman"/>
          <w:bCs/>
          <w:noProof/>
          <w:kern w:val="0"/>
          <w:szCs w:val="27"/>
          <w14:ligatures w14:val="none"/>
        </w:rPr>
        <w:t xml:space="preserve">Birinci görüş: Gerçek farmakokinetik farklılıklar: </w:t>
      </w:r>
      <w:r>
        <w:rPr>
          <w:rFonts w:cs="Times New Roman"/>
          <w:noProof/>
          <w:kern w:val="0"/>
          <w14:ligatures w14:val="none"/>
        </w:rPr>
        <w:t>Bazı araştırmacılar, biyoeşdeğerlik ortalama popülasyon düzeyinde gösterilmiş olsa bile, dar terapötik indeksli ilaçlarda bireysel değişkenliğin daha belirgin olabileceğini ileri sürdüler. Özellikle uzun yıllardır stabil doz kullanan hastalarda küçük farmakokinetik değişikliklerin TSH düzeylerini etkileyebileceği savunuldu. Nitekim bazı hastalarda doz ayarlaması yapılması gerekmiştir.</w:t>
      </w:r>
    </w:p>
    <w:p w14:paraId="58373B82" w14:textId="77777777" w:rsidR="004A3501" w:rsidRPr="00754EC9" w:rsidRDefault="004A3501" w:rsidP="00F7400F">
      <w:pPr>
        <w:spacing w:before="100" w:beforeAutospacing="1" w:after="100" w:afterAutospacing="1" w:line="240" w:lineRule="auto"/>
        <w:jc w:val="both"/>
        <w:outlineLvl w:val="2"/>
        <w:rPr>
          <w:rFonts w:cs="Times New Roman"/>
          <w:noProof/>
          <w:kern w:val="0"/>
          <w14:ligatures w14:val="none"/>
        </w:rPr>
      </w:pPr>
      <w:r>
        <w:rPr>
          <w:rFonts w:cs="Times New Roman"/>
          <w:bCs/>
          <w:noProof/>
          <w:kern w:val="0"/>
          <w:szCs w:val="27"/>
          <w14:ligatures w14:val="none"/>
        </w:rPr>
        <w:t xml:space="preserve">İkinci görüş: Nocebo etkisi: </w:t>
      </w:r>
      <w:r>
        <w:rPr>
          <w:rFonts w:cs="Times New Roman"/>
          <w:noProof/>
          <w:kern w:val="0"/>
          <w14:ligatures w14:val="none"/>
        </w:rPr>
        <w:t xml:space="preserve">Bir başka görüş ise bildirilen semptomların önemli bölümünün </w:t>
      </w:r>
      <w:r>
        <w:rPr>
          <w:rFonts w:cs="Times New Roman"/>
          <w:bCs/>
          <w:noProof/>
          <w:kern w:val="0"/>
          <w14:ligatures w14:val="none"/>
        </w:rPr>
        <w:t>nocebo etkisi</w:t>
      </w:r>
      <w:r>
        <w:rPr>
          <w:rFonts w:cs="Times New Roman"/>
          <w:noProof/>
          <w:kern w:val="0"/>
          <w14:ligatures w14:val="none"/>
        </w:rPr>
        <w:t xml:space="preserve"> ile ilişkili olabileceğini ileri sürdü. Nocebo, bir ilacın olumsuz etki oluşturacağı beklentisinin gerçekten semptom gelişmesine yol açmasıdır. Medyada yer alan yoğun haberler ve sosyal medya tartışmalarının hasta algısını etkileyerek yakınmaların artmasına katkıda bulunmuş olabileceği öne sürüldü.</w:t>
      </w:r>
    </w:p>
    <w:p w14:paraId="59F2DD17" w14:textId="77777777" w:rsidR="004A3501" w:rsidRPr="00754EC9" w:rsidRDefault="004A3501" w:rsidP="00F7400F">
      <w:pPr>
        <w:spacing w:before="100" w:beforeAutospacing="1" w:after="100" w:afterAutospacing="1" w:line="240" w:lineRule="auto"/>
        <w:jc w:val="both"/>
        <w:outlineLvl w:val="2"/>
        <w:rPr>
          <w:rFonts w:cs="Times New Roman"/>
          <w:noProof/>
          <w:kern w:val="0"/>
          <w14:ligatures w14:val="none"/>
        </w:rPr>
      </w:pPr>
      <w:r>
        <w:rPr>
          <w:rFonts w:cs="Times New Roman"/>
          <w:bCs/>
          <w:noProof/>
          <w:kern w:val="0"/>
          <w:szCs w:val="27"/>
          <w14:ligatures w14:val="none"/>
        </w:rPr>
        <w:t xml:space="preserve">Üçüncü görüş: İletişim eksikliği: </w:t>
      </w:r>
      <w:r>
        <w:rPr>
          <w:rFonts w:cs="Times New Roman"/>
          <w:noProof/>
          <w:kern w:val="0"/>
          <w14:ligatures w14:val="none"/>
        </w:rPr>
        <w:t>Belki de en fazla kabul gören açıklama ise düzenleyici iletişimde yaşanan eksiklikti. Hastalara;</w:t>
      </w:r>
    </w:p>
    <w:p w14:paraId="5518A6A7" w14:textId="77777777" w:rsidR="004A3501" w:rsidRPr="00754EC9" w:rsidRDefault="004A3501" w:rsidP="00754EC9">
      <w:pPr>
        <w:numPr>
          <w:ilvl w:val="0"/>
          <w:numId w:val="18"/>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neden formülasyon değiştirildiği, </w:t>
      </w:r>
    </w:p>
    <w:p w14:paraId="2DBE32B4" w14:textId="77777777" w:rsidR="004A3501" w:rsidRPr="00754EC9" w:rsidRDefault="004A3501" w:rsidP="00754EC9">
      <w:pPr>
        <w:numPr>
          <w:ilvl w:val="0"/>
          <w:numId w:val="18"/>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etkin maddenin aynı kaldığı, </w:t>
      </w:r>
    </w:p>
    <w:p w14:paraId="74ABFBA7" w14:textId="77777777" w:rsidR="004A3501" w:rsidRPr="00754EC9" w:rsidRDefault="004A3501" w:rsidP="00754EC9">
      <w:pPr>
        <w:numPr>
          <w:ilvl w:val="0"/>
          <w:numId w:val="18"/>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biyoeşdeğerlik çalışmalarının nasıl yapıldığı, </w:t>
      </w:r>
    </w:p>
    <w:p w14:paraId="04E234D3" w14:textId="77777777" w:rsidR="004A3501" w:rsidRPr="00F7400F" w:rsidRDefault="004A3501" w:rsidP="00754EC9">
      <w:pPr>
        <w:numPr>
          <w:ilvl w:val="0"/>
          <w:numId w:val="18"/>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hangi hastalarda TSH kontrolü gerekebileceği  yeterince anlatılmamıştı.</w:t>
      </w:r>
    </w:p>
    <w:p w14:paraId="75113F91" w14:textId="77777777" w:rsidR="004A3501" w:rsidRPr="00754EC9" w:rsidRDefault="004A3501"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Sonuç olarak biyoeşdeğer bir ürün, hasta açısından "farklı bir ilaç" olarak algılanmıştı. Bu olay, düzenleyici bilim açısından çok önemli bir ders vermiştir. </w:t>
      </w:r>
      <w:r>
        <w:rPr>
          <w:rFonts w:cs="Times New Roman"/>
          <w:bCs/>
          <w:noProof/>
          <w:kern w:val="0"/>
          <w14:ligatures w14:val="none"/>
        </w:rPr>
        <w:t>Bilimsel doğruluk tek başına yeterli değildir. Bilimsel doğruluğun doğru anlatılması da gerekir.</w:t>
      </w:r>
    </w:p>
    <w:p w14:paraId="31C0915E" w14:textId="77777777" w:rsidR="004A3501" w:rsidRPr="00754EC9" w:rsidRDefault="004A3501"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Levothyrox® krizi, farmakovijilansın yalnızca biyolojik olayları değil, hasta deneyimini de değerlendirmesi gerektiğini göstermiştir. Günümüzde gerçek yaşam verileri (Real-World Data, RWD) ve hasta tarafından bildirilen sonuç ölçütleri (Patient-Reported Outcomes, PROs) giderek daha fazla önem kazanmaktadır. Çünkü ilacın teknik olarak biyoeşdeğer olması ile hastanın tedaviye güven duyması her zaman aynı şey değildir.</w:t>
      </w:r>
    </w:p>
    <w:p w14:paraId="43958802" w14:textId="77777777" w:rsidR="004A3501" w:rsidRPr="00754EC9" w:rsidRDefault="004A3501"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Bu olay aynı zamanda dar terapötik indeksli ilaçlarda marka veya formülasyon değişikliklerinin dikkatle yönetilmesi gerektiğini de göstermiştir. Birçok endokrinoloji derneği, levotiroksin preparatı değiştirilen hastalarda 6–8 hafta içinde TSH düzeyinin yeniden değerlendirilmesini </w:t>
      </w:r>
      <w:r>
        <w:rPr>
          <w:rFonts w:cs="Times New Roman"/>
          <w:noProof/>
          <w:kern w:val="0"/>
          <w14:ligatures w14:val="none"/>
        </w:rPr>
        <w:lastRenderedPageBreak/>
        <w:t>önermektedir. Bu öneri, biyoeşdeğerliğe duyulan güvensizlikten değil, bireysel değişkenliğin ve klinik izlemin öneminden kaynaklanmaktadır.</w:t>
      </w:r>
    </w:p>
    <w:p w14:paraId="5A8F8BCB" w14:textId="77777777" w:rsidR="004A3501" w:rsidRPr="00754EC9" w:rsidRDefault="004A3501"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Levothyrox® krizi sonunda düzenleyici otoriteler önemli bir sonuca ulaştılar: Kalite yalnızca laboratuvarda ölçülen farmakokinetik parametrelerden ibaret değildir. Kalite aynı zamanda </w:t>
      </w:r>
      <w:r>
        <w:rPr>
          <w:rFonts w:cs="Times New Roman"/>
          <w:bCs/>
          <w:noProof/>
          <w:kern w:val="0"/>
          <w14:ligatures w14:val="none"/>
        </w:rPr>
        <w:t>hasta güveni, etkili iletişim, şeffaflık ve tedavinin kabul edilebilirliği</w:t>
      </w:r>
      <w:r>
        <w:rPr>
          <w:rFonts w:cs="Times New Roman"/>
          <w:noProof/>
          <w:kern w:val="0"/>
          <w14:ligatures w14:val="none"/>
        </w:rPr>
        <w:t xml:space="preserve"> ile de ilişkilidir. Bu nedenle modern ilaç düzenleme bilimi artık yalnızca biyoeşdeğerliği değil; hasta deneyimini, gerçek yaşam verilerini ve sağlık iletişimini de kalite sisteminin ayrılmaz parçaları olarak değerlendirmektedir.</w:t>
      </w:r>
    </w:p>
    <w:p w14:paraId="4FF2C722" w14:textId="77777777" w:rsidR="004A3501" w:rsidRPr="00754EC9" w:rsidRDefault="004A3501" w:rsidP="00754EC9">
      <w:pPr>
        <w:spacing w:before="100" w:beforeAutospacing="1" w:after="100" w:afterAutospacing="1" w:line="240" w:lineRule="auto"/>
        <w:jc w:val="both"/>
        <w:outlineLvl w:val="0"/>
        <w:rPr>
          <w:rFonts w:cs="Times New Roman"/>
          <w:b/>
          <w:bCs/>
          <w:noProof/>
          <w:kern w:val="36"/>
          <w:sz w:val="48"/>
          <w:szCs w:val="48"/>
          <w14:ligatures w14:val="none"/>
        </w:rPr>
      </w:pPr>
      <w:r>
        <w:rPr>
          <w:rFonts w:cs="Times New Roman"/>
          <w:b/>
          <w:bCs/>
          <w:noProof/>
          <w:kern w:val="36"/>
          <w:sz w:val="32"/>
          <w:szCs w:val="48"/>
          <w14:ligatures w14:val="none"/>
        </w:rPr>
        <w:t>9.5 Veri Bütünlüğü (Data Integrity):</w:t>
      </w:r>
    </w:p>
    <w:p w14:paraId="2FCE3BC5" w14:textId="77777777" w:rsidR="004A3501" w:rsidRPr="00754EC9" w:rsidRDefault="004A3501"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İlaç kalite sistemleri uzun yıllar boyunca üretim standartları, analitik yöntemler ve biyoeşdeğerlik çalışmaları üzerinden değerlendirilmiştir. Ancak son yirmi yılda düzenleyici otoritelerin denetim raporları incelendiğinde dikkat çekici bir değişim görülmektedir. Günümüzde kalite sorunlarının önemli bir bölümü artık kimyasal analizlerden değil, </w:t>
      </w:r>
      <w:r>
        <w:rPr>
          <w:rFonts w:cs="Times New Roman"/>
          <w:bCs/>
          <w:noProof/>
          <w:kern w:val="0"/>
          <w14:ligatures w14:val="none"/>
        </w:rPr>
        <w:t>üretilen bilimsel verinin güvenilirliğinden</w:t>
      </w:r>
      <w:r>
        <w:rPr>
          <w:rFonts w:cs="Times New Roman"/>
          <w:noProof/>
          <w:kern w:val="0"/>
          <w14:ligatures w14:val="none"/>
        </w:rPr>
        <w:t xml:space="preserve"> kaynaklanmaktadır.</w:t>
      </w:r>
    </w:p>
    <w:p w14:paraId="15D7B4EF" w14:textId="77777777" w:rsidR="00D33F43" w:rsidRDefault="004A3501" w:rsidP="00D33F43">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Başka bir ifadeyle, günümüz ilaç endüstrisinin en büyük riski çoğu zaman ilacın kendisi değil, ilaca ait verilerin doğruluğudur. Bu nedenle FDA, EMA, MHRA ve PIC/S son yıllarda "Data Integrity" kavramını GMP'nin ayrılmaz bir parçası olarak kabul etmiş ve yayımladıkları rehberlerde bu konuya geniş yer vermişlerdir. Artık modern GMP denetimleri yalnızca üretim alanlarını değil, bilgisayar sistemlerini, elektronik kayıtları, ham analitik verileri ve laboratuvar bilgi yönetim sistemlerini de kapsamaktadır.</w:t>
      </w:r>
    </w:p>
    <w:p w14:paraId="0F44E96D" w14:textId="77777777" w:rsidR="004A3501" w:rsidRPr="00754EC9" w:rsidRDefault="004A3501" w:rsidP="00D33F43">
      <w:pPr>
        <w:spacing w:before="100" w:beforeAutospacing="1" w:after="100" w:afterAutospacing="1" w:line="240" w:lineRule="auto"/>
        <w:jc w:val="both"/>
        <w:rPr>
          <w:rFonts w:cs="Times New Roman"/>
          <w:noProof/>
          <w:kern w:val="0"/>
          <w14:ligatures w14:val="none"/>
        </w:rPr>
      </w:pPr>
      <w:r>
        <w:rPr>
          <w:rFonts w:cs="Times New Roman"/>
          <w:b/>
          <w:noProof/>
          <w:kern w:val="0"/>
          <w:szCs w:val="36"/>
          <w14:ligatures w14:val="none"/>
        </w:rPr>
        <w:t xml:space="preserve">Kalite Analizi Doğruysa Sonuç </w:t>
      </w:r>
      <w:r>
        <w:rPr>
          <w:rFonts w:cs="Times New Roman"/>
          <w:bCs/>
          <w:noProof/>
          <w:kern w:val="0"/>
          <w:szCs w:val="36"/>
          <w14:ligatures w14:val="none"/>
        </w:rPr>
        <w:t>Her Zaman Doğru mudur?  Herzaman bu sorunun cevabı evet olmayabilir. A</w:t>
      </w:r>
      <w:r>
        <w:rPr>
          <w:rFonts w:cs="Times New Roman"/>
          <w:noProof/>
          <w:kern w:val="0"/>
          <w14:ligatures w14:val="none"/>
        </w:rPr>
        <w:t>nalitik kimyada doğru sonuca ulaşmak kadar, sonucun nasıl elde edildiği de önemlidir. Bir laboratuvarda kullanılan LC-MS/MS cihazı dünyanın en gelişmiş sistemi, analitik yöntem tam valide edilmiş, kalibrasyon eğrileri uygun olabilir. Kalite kontrol örnekleri sınırlar içinde bulunabilir ama ;</w:t>
      </w:r>
    </w:p>
    <w:p w14:paraId="61BBC1B4" w14:textId="77777777" w:rsidR="004A3501" w:rsidRPr="00754EC9" w:rsidRDefault="004A3501" w:rsidP="00754EC9">
      <w:pPr>
        <w:numPr>
          <w:ilvl w:val="0"/>
          <w:numId w:val="19"/>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kromatogramlar sonradan değiştirilmişse, </w:t>
      </w:r>
    </w:p>
    <w:p w14:paraId="7B02FEB0" w14:textId="77777777" w:rsidR="004A3501" w:rsidRPr="00754EC9" w:rsidRDefault="004A3501" w:rsidP="00754EC9">
      <w:pPr>
        <w:numPr>
          <w:ilvl w:val="0"/>
          <w:numId w:val="19"/>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başarısız analizler silinmişse, </w:t>
      </w:r>
    </w:p>
    <w:p w14:paraId="3CF1A025" w14:textId="77777777" w:rsidR="004A3501" w:rsidRPr="00754EC9" w:rsidRDefault="004A3501" w:rsidP="00754EC9">
      <w:pPr>
        <w:numPr>
          <w:ilvl w:val="0"/>
          <w:numId w:val="19"/>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yalnızca uygun sonuçlar raporlanmışsa, </w:t>
      </w:r>
    </w:p>
    <w:p w14:paraId="1C998F2C" w14:textId="77777777" w:rsidR="004A3501" w:rsidRPr="0009492C" w:rsidRDefault="004A3501" w:rsidP="00754EC9">
      <w:pPr>
        <w:numPr>
          <w:ilvl w:val="0"/>
          <w:numId w:val="19"/>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ham veriler değiştirilmişse, üretilen bilimsel sonuç artık güvenilir değildir. İşte veri bütünlüğü tam olarak bu noktada devreye girmektedir.</w:t>
      </w:r>
    </w:p>
    <w:p w14:paraId="4A165BC2" w14:textId="77777777" w:rsidR="004A3501" w:rsidRPr="00754EC9" w:rsidRDefault="004A3501" w:rsidP="0009492C">
      <w:pPr>
        <w:spacing w:before="100" w:beforeAutospacing="1" w:after="100" w:afterAutospacing="1" w:line="240" w:lineRule="auto"/>
        <w:jc w:val="both"/>
        <w:outlineLvl w:val="1"/>
        <w:rPr>
          <w:rFonts w:cs="Times New Roman"/>
          <w:noProof/>
          <w:kern w:val="0"/>
          <w14:ligatures w14:val="none"/>
        </w:rPr>
      </w:pPr>
      <w:r>
        <w:rPr>
          <w:rFonts w:cs="Times New Roman"/>
          <w:b/>
          <w:noProof/>
          <w:kern w:val="0"/>
          <w:szCs w:val="36"/>
          <w14:ligatures w14:val="none"/>
        </w:rPr>
        <w:t xml:space="preserve">ALCOA İlkeleri: </w:t>
      </w:r>
      <w:r>
        <w:rPr>
          <w:rFonts w:cs="Times New Roman"/>
          <w:noProof/>
          <w:kern w:val="0"/>
          <w14:ligatures w14:val="none"/>
        </w:rPr>
        <w:t xml:space="preserve">FDA ve EMA veri bütünlüğünü değerlendirirken uzun yıllardır </w:t>
      </w:r>
      <w:r>
        <w:rPr>
          <w:rFonts w:cs="Times New Roman"/>
          <w:bCs/>
          <w:noProof/>
          <w:kern w:val="0"/>
          <w14:ligatures w14:val="none"/>
        </w:rPr>
        <w:t>ALCOA</w:t>
      </w:r>
      <w:r>
        <w:rPr>
          <w:rFonts w:cs="Times New Roman"/>
          <w:noProof/>
          <w:kern w:val="0"/>
          <w14:ligatures w14:val="none"/>
        </w:rPr>
        <w:t xml:space="preserve"> ilkelerini esas almaktadır. Buna göre bilimsel veri; </w:t>
      </w:r>
      <w:r>
        <w:rPr>
          <w:rFonts w:cs="Times New Roman"/>
          <w:bCs/>
          <w:noProof/>
          <w:kern w:val="0"/>
          <w14:ligatures w14:val="none"/>
        </w:rPr>
        <w:t>Attributable (Kime ait olduğu belli olmalı), v</w:t>
      </w:r>
      <w:r>
        <w:rPr>
          <w:rFonts w:cs="Times New Roman"/>
          <w:noProof/>
          <w:kern w:val="0"/>
          <w14:ligatures w14:val="none"/>
        </w:rPr>
        <w:t xml:space="preserve">eriyi kimin ürettiği açıkça izlenebilmelidir. </w:t>
      </w:r>
      <w:r>
        <w:rPr>
          <w:rFonts w:cs="Times New Roman"/>
          <w:bCs/>
          <w:noProof/>
          <w:kern w:val="0"/>
          <w14:ligatures w14:val="none"/>
        </w:rPr>
        <w:t xml:space="preserve">Legible (Okunabilir olmalı), contemporaneous (Olay gerçekleşirken kaydedilmeli) olmalıdır. </w:t>
      </w:r>
      <w:r>
        <w:rPr>
          <w:rFonts w:cs="Times New Roman"/>
          <w:noProof/>
          <w:kern w:val="0"/>
          <w14:ligatures w14:val="none"/>
        </w:rPr>
        <w:t>Sonradan hafızaya dayanarak oluşturulan kayıtlar kabul edilemez. Ham veriler korunmalıdır. Veriler manipüle edilmemeli ve gerçeği yansıtmalıdır.</w:t>
      </w:r>
    </w:p>
    <w:p w14:paraId="56CAF3F9" w14:textId="77777777" w:rsidR="004A3501" w:rsidRPr="00754EC9" w:rsidRDefault="004A3501"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Son yıllarda bu yaklaşım genişletilmiş ve </w:t>
      </w:r>
      <w:r>
        <w:rPr>
          <w:rFonts w:cs="Times New Roman"/>
          <w:bCs/>
          <w:noProof/>
          <w:kern w:val="0"/>
          <w14:ligatures w14:val="none"/>
        </w:rPr>
        <w:t>ALCOA+</w:t>
      </w:r>
      <w:r>
        <w:rPr>
          <w:rFonts w:cs="Times New Roman"/>
          <w:noProof/>
          <w:kern w:val="0"/>
          <w14:ligatures w14:val="none"/>
        </w:rPr>
        <w:t xml:space="preserve"> kavramı geliştirilmiştir. Buna; Complete (tam), consistent (tutarlı), enduring (kalıcı, süreğen) ve available (erişilebilir) olma ilkeleri getirilmiştir. Artık veri yalnızca doğru değil, aynı zamanda eksiksiz, tutarlı, kalıcı ve gerektiğinde erişilebilir olmak zorundadır.</w:t>
      </w:r>
    </w:p>
    <w:p w14:paraId="42FE70C6" w14:textId="77777777" w:rsidR="004A3501" w:rsidRPr="00754EC9" w:rsidRDefault="0014624E"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lastRenderedPageBreak/>
        <w:t>Bu kriterler göz önüne alınarak FDA'nın son yirmi yılda yayımladığı yüzlerce Warning Letter incelendiğinde dikkat çekici bir tablo ortaya çıkmaktadır. En sık rastlanan uygunsuzluklar şunlardır:</w:t>
      </w:r>
    </w:p>
    <w:p w14:paraId="36392330" w14:textId="77777777" w:rsidR="004A3501" w:rsidRPr="00754EC9" w:rsidRDefault="004A3501" w:rsidP="00754EC9">
      <w:pPr>
        <w:numPr>
          <w:ilvl w:val="0"/>
          <w:numId w:val="21"/>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Ham kromatogramların silinmesi </w:t>
      </w:r>
    </w:p>
    <w:p w14:paraId="4907B850" w14:textId="77777777" w:rsidR="004A3501" w:rsidRPr="00754EC9" w:rsidRDefault="004A3501" w:rsidP="00754EC9">
      <w:pPr>
        <w:numPr>
          <w:ilvl w:val="0"/>
          <w:numId w:val="21"/>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"Test until passing" yaklaşımı (uygun sonuç çıkıncaya kadar tekrar analiz yapılması) </w:t>
      </w:r>
    </w:p>
    <w:p w14:paraId="4836A0AA" w14:textId="77777777" w:rsidR="004A3501" w:rsidRPr="00754EC9" w:rsidRDefault="004A3501" w:rsidP="00754EC9">
      <w:pPr>
        <w:numPr>
          <w:ilvl w:val="0"/>
          <w:numId w:val="21"/>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Başarısız analizlerin rapor edilmemesi </w:t>
      </w:r>
    </w:p>
    <w:p w14:paraId="72BE7E29" w14:textId="77777777" w:rsidR="004A3501" w:rsidRPr="00754EC9" w:rsidRDefault="004A3501" w:rsidP="00754EC9">
      <w:pPr>
        <w:numPr>
          <w:ilvl w:val="0"/>
          <w:numId w:val="21"/>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Elektronik kayıtların değiştirilmesi </w:t>
      </w:r>
    </w:p>
    <w:p w14:paraId="10FAD406" w14:textId="77777777" w:rsidR="004A3501" w:rsidRPr="00754EC9" w:rsidRDefault="004A3501" w:rsidP="00754EC9">
      <w:pPr>
        <w:numPr>
          <w:ilvl w:val="0"/>
          <w:numId w:val="21"/>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Denetim izlerinin (audit trail) kapatılması </w:t>
      </w:r>
    </w:p>
    <w:p w14:paraId="01A497AA" w14:textId="77777777" w:rsidR="004A3501" w:rsidRPr="00754EC9" w:rsidRDefault="004A3501" w:rsidP="00754EC9">
      <w:pPr>
        <w:numPr>
          <w:ilvl w:val="0"/>
          <w:numId w:val="21"/>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Kullanıcı şifrelerinin ortak kullanılması </w:t>
      </w:r>
    </w:p>
    <w:p w14:paraId="225B120D" w14:textId="77777777" w:rsidR="004A3501" w:rsidRPr="00754EC9" w:rsidRDefault="004A3501" w:rsidP="00754EC9">
      <w:pPr>
        <w:numPr>
          <w:ilvl w:val="0"/>
          <w:numId w:val="21"/>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Geriye dönük kayıt oluşturulması </w:t>
      </w:r>
    </w:p>
    <w:p w14:paraId="1AD04688" w14:textId="77777777" w:rsidR="004A3501" w:rsidRPr="00754EC9" w:rsidRDefault="004A3501" w:rsidP="00754EC9">
      <w:pPr>
        <w:numPr>
          <w:ilvl w:val="0"/>
          <w:numId w:val="21"/>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OOS (Out of Specification) sonuçlarının yeterince araştırılmaması </w:t>
      </w:r>
    </w:p>
    <w:p w14:paraId="432E8B29" w14:textId="77777777" w:rsidR="004A3501" w:rsidRPr="00754EC9" w:rsidRDefault="004A3501" w:rsidP="00754EC9">
      <w:pPr>
        <w:numPr>
          <w:ilvl w:val="0"/>
          <w:numId w:val="21"/>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Analitik cihaz saatlerinin değiştirilmesi </w:t>
      </w:r>
    </w:p>
    <w:p w14:paraId="6B9D8B7B" w14:textId="77777777" w:rsidR="004A3501" w:rsidRPr="0014624E" w:rsidRDefault="004A3501" w:rsidP="00754EC9">
      <w:pPr>
        <w:numPr>
          <w:ilvl w:val="0"/>
          <w:numId w:val="21"/>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Laboratuvar defterlerinin sonradan doldurulması</w:t>
      </w:r>
    </w:p>
    <w:p w14:paraId="15FCDF47" w14:textId="77777777" w:rsidR="004A3501" w:rsidRPr="00754EC9" w:rsidRDefault="004A3501"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Bu bulguların büyük bölümü kimyasal analiz hatası değil, bilimsel sahtekarlık sorunlarıdır. Dolayısıyla modern kalite sistemleri yalnızca analitik doğruluğu değil, araştırmacının etik davranışını da değerlendirmek zorundadır. Bu nokta Türkiye açısından çok daha önemlidir. Türkiyede bırakın verilerde oynamayı, sahte biyoyararlanım raporu üreten firmalara dahi şahit olduk.</w:t>
      </w:r>
    </w:p>
    <w:p w14:paraId="210E685C" w14:textId="77777777" w:rsidR="004A3501" w:rsidRPr="00754EC9" w:rsidRDefault="004A3501" w:rsidP="0062449E">
      <w:pPr>
        <w:spacing w:before="100" w:beforeAutospacing="1" w:after="100" w:afterAutospacing="1" w:line="240" w:lineRule="auto"/>
        <w:jc w:val="both"/>
        <w:outlineLvl w:val="1"/>
        <w:rPr>
          <w:rFonts w:cs="Times New Roman"/>
          <w:noProof/>
          <w:kern w:val="0"/>
          <w14:ligatures w14:val="none"/>
        </w:rPr>
      </w:pPr>
      <w:r>
        <w:rPr>
          <w:rFonts w:cs="Times New Roman"/>
          <w:bCs/>
          <w:noProof/>
          <w:kern w:val="0"/>
          <w:szCs w:val="36"/>
          <w14:ligatures w14:val="none"/>
        </w:rPr>
        <w:t xml:space="preserve">"Test Until Passing, Test  Uygun Çıkana  Kadar Tekrarla’’: </w:t>
      </w:r>
      <w:r>
        <w:rPr>
          <w:rFonts w:cs="Times New Roman"/>
          <w:noProof/>
          <w:kern w:val="0"/>
          <w14:ligatures w14:val="none"/>
        </w:rPr>
        <w:t>FDA denetimlerinde en sık karşılaşılan uygulamalardan biri "test until passing" olarak adlandırılmaktadır. Bu yaklaşımda analiz uygun çıkıncaya kadar numune tekrar tekrar çalışılır, başarısız analizler raporlanmaz. Bilimsel açısından bu yaklaşım kabul edilemez, her analiz sonucu, uygun olsun veya olmasın, bilimsel verinin bir parçasıdır.Başarısız sonuçların silinmesi kaliteyi artırmaz, kalite sistemini yok eder.</w:t>
      </w:r>
    </w:p>
    <w:p w14:paraId="40C6426D" w14:textId="77777777" w:rsidR="004A3501" w:rsidRDefault="004A3501" w:rsidP="00754EC9">
      <w:pPr>
        <w:spacing w:before="100" w:beforeAutospacing="1" w:after="100" w:afterAutospacing="1" w:line="240" w:lineRule="auto"/>
        <w:jc w:val="both"/>
        <w:outlineLvl w:val="1"/>
        <w:rPr>
          <w:rFonts w:cs="Times New Roman"/>
          <w:b/>
          <w:noProof/>
          <w:kern w:val="0"/>
          <w:szCs w:val="36"/>
          <w14:ligatures w14:val="none"/>
        </w:rPr>
      </w:pPr>
      <w:r>
        <w:rPr>
          <w:rFonts w:cs="Times New Roman"/>
          <w:b/>
          <w:noProof/>
          <w:kern w:val="0"/>
          <w:szCs w:val="36"/>
          <w14:ligatures w14:val="none"/>
        </w:rPr>
        <w:t>Veri Manipülasyonu biBilimsel Araştırmaların Eski, Kimyasal Sahteciliğin Yeni Biçimidir</w:t>
      </w:r>
    </w:p>
    <w:p w14:paraId="10EF217F" w14:textId="77777777" w:rsidR="00F7400F" w:rsidRDefault="00D33F43" w:rsidP="00F7400F">
      <w:pPr>
        <w:spacing w:before="100" w:beforeAutospacing="1" w:after="100" w:afterAutospacing="1" w:line="240" w:lineRule="auto"/>
        <w:outlineLvl w:val="1"/>
        <w:rPr>
          <w:rFonts w:cs="Times New Roman"/>
          <w:bCs/>
          <w:noProof/>
          <w:kern w:val="0"/>
          <w14:ligatures w14:val="none"/>
        </w:rPr>
      </w:pPr>
      <w:r>
        <w:rPr>
          <w:rFonts w:cs="Times New Roman"/>
          <w:bCs/>
          <w:noProof/>
          <w:kern w:val="0"/>
          <w:szCs w:val="36"/>
          <w14:ligatures w14:val="none"/>
        </w:rPr>
        <w:t xml:space="preserve">Bilimsel araştırmalarda veri sahtekarlığı ve ahlaksızlılığı eskiden beri çok iyi bilinen bir uygulamadır. İlaç sanayiinde özellikle klinik araştırmalardaki sahtekarlıkları anlatmaya bu sayfalar yetmez. Konuyu merak edenler için: </w:t>
      </w:r>
      <w:hyperlink r:id="rId8" w:history="1">
        <w:r>
          <w:rPr>
            <w:rStyle w:val="Hyperlink"/>
            <w:rFonts w:cs="Times New Roman"/>
            <w:bCs/>
            <w:i/>
            <w:iCs/>
            <w:noProof/>
            <w:kern w:val="0"/>
            <w:sz w:val="21"/>
            <w:szCs w:val="21"/>
            <w14:ligatures w14:val="none"/>
          </w:rPr>
          <w:t>https://klinikfarmakoloji.com/search/node?keys=sahtekar</w:t>
        </w:r>
      </w:hyperlink>
      <w:r>
        <w:rPr>
          <w:rFonts w:cs="Times New Roman"/>
          <w:bCs/>
          <w:i/>
          <w:iCs/>
          <w:noProof/>
          <w:kern w:val="0"/>
          <w:sz w:val="21"/>
          <w:szCs w:val="21"/>
          <w14:ligatures w14:val="none"/>
        </w:rPr>
        <w:t xml:space="preserve"> linkine bakabilirler. </w:t>
      </w:r>
      <w:r>
        <w:rPr>
          <w:rFonts w:cs="Times New Roman"/>
          <w:bCs/>
          <w:noProof/>
          <w:kern w:val="0"/>
          <w14:ligatures w14:val="none"/>
        </w:rPr>
        <w:t xml:space="preserve">Tüm dünyada olduğu gibi Türkiyede de bilimsel araştırmalarda da sahtekarlık oldukça yaygındır. COVID döneminde en üst düzey bürokratların bile sahte makale yazdığına şahit olmuştuk. Üniversite yıllarımda bir öğretim üyesinin istediği sonuç çıkıncaya kadar asistana deneyi tekrarlattığına bizzat şahit oldum. Türkiyenin en fazla makale yazan öğretim üyelerinden birisi müşterek araştırma yaptığı asistanlarına bile kaba dataları göstermez, makalelerini kapalı kapılar arkasında yazardı. </w:t>
      </w:r>
    </w:p>
    <w:p w14:paraId="40E4CD11" w14:textId="77777777" w:rsidR="00ED50A6" w:rsidRPr="00F7400F" w:rsidRDefault="004A3501" w:rsidP="00F7400F">
      <w:pPr>
        <w:spacing w:before="100" w:beforeAutospacing="1" w:after="100" w:afterAutospacing="1" w:line="240" w:lineRule="auto"/>
        <w:outlineLvl w:val="1"/>
        <w:rPr>
          <w:rFonts w:cs="Times New Roman"/>
          <w:bCs/>
          <w:noProof/>
          <w:kern w:val="0"/>
          <w14:ligatures w14:val="none"/>
        </w:rPr>
      </w:pPr>
      <w:r>
        <w:rPr>
          <w:rFonts w:cs="Times New Roman"/>
          <w:noProof/>
          <w:kern w:val="0"/>
          <w14:ligatures w14:val="none"/>
        </w:rPr>
        <w:t>Eskiden kalite sorunları daha çok etkin madde miktarı veya kontaminasyon ile ilgili olurdu. Bugün ise sorunların önemli bir kısmı bilgisayar ekranında başlamaktadır. Elektronik veri yönetim sistemlerinin yaygınlaşması ile birlikte</w:t>
      </w:r>
      <w:r>
        <w:rPr>
          <w:rFonts w:cs="Times New Roman"/>
          <w:bCs/>
          <w:noProof/>
          <w:kern w:val="0"/>
          <w14:ligatures w14:val="none"/>
        </w:rPr>
        <w:t xml:space="preserve"> </w:t>
      </w:r>
      <w:r>
        <w:rPr>
          <w:rFonts w:cs="Times New Roman"/>
          <w:noProof/>
          <w:kern w:val="0"/>
          <w14:ligatures w14:val="none"/>
        </w:rPr>
        <w:t xml:space="preserve">müfettişler yalnızca üretim hattını gezmemekte, sunucuları da incelemekte, bilgisayar kayıtlarını da analiz etmekte, silinen dosyaları da araştırmaktadır. Bu değişim, ilaç kalite sisteminde yeni bir dönemin başladığını göstermektedir. </w:t>
      </w:r>
    </w:p>
    <w:p w14:paraId="249BED67" w14:textId="77777777" w:rsidR="004A3501" w:rsidRPr="00754EC9" w:rsidRDefault="004A3501"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lastRenderedPageBreak/>
        <w:t xml:space="preserve">Biyoeşdeğerlik çalışmaları ne kadar doğru tasarlanmış olursa olsun; ham veriler güvenilir  değilse, analitik sonuçlar manipüle edilmişse, gönüllü kayıtları değiştirilmişse, farmakokinetik analizler gerçeği yansıtmıyorsa, çalışmanın bilimsel değeri tamamen ortadan kalkar. </w:t>
      </w:r>
      <w:r>
        <w:rPr>
          <w:rFonts w:cs="Times New Roman"/>
          <w:bCs/>
          <w:noProof/>
          <w:kern w:val="0"/>
          <w14:ligatures w14:val="none"/>
        </w:rPr>
        <w:t>İlaç kalitesinin temelinde kimya vardır. Ancak kimyadan önce dürüst bilim vardır. Bilimsel dürüstlük kaybolduğunda, en gelişmiş kalite sistemi bile hastayı koruyamaz.</w:t>
      </w:r>
    </w:p>
    <w:p w14:paraId="0CEF554C" w14:textId="77777777" w:rsidR="004A3501" w:rsidRPr="00754EC9" w:rsidRDefault="004A3501" w:rsidP="00754EC9">
      <w:pPr>
        <w:spacing w:before="100" w:beforeAutospacing="1" w:after="100" w:afterAutospacing="1" w:line="240" w:lineRule="auto"/>
        <w:jc w:val="both"/>
        <w:outlineLvl w:val="0"/>
        <w:rPr>
          <w:rFonts w:cs="Times New Roman"/>
          <w:b/>
          <w:bCs/>
          <w:noProof/>
          <w:kern w:val="36"/>
          <w:sz w:val="48"/>
          <w:szCs w:val="48"/>
          <w14:ligatures w14:val="none"/>
        </w:rPr>
      </w:pPr>
      <w:r>
        <w:rPr>
          <w:rFonts w:cs="Times New Roman"/>
          <w:b/>
          <w:bCs/>
          <w:noProof/>
          <w:kern w:val="36"/>
          <w:sz w:val="32"/>
          <w:szCs w:val="48"/>
          <w14:ligatures w14:val="none"/>
        </w:rPr>
        <w:t>9.6 FDA Warning Letter'ları Ne Söylüyor? Sorun Gerçekten Nerede?</w:t>
      </w:r>
    </w:p>
    <w:p w14:paraId="54A80605" w14:textId="77777777" w:rsidR="004A3501" w:rsidRPr="00754EC9" w:rsidRDefault="004A3501"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İlaç düzenleyici sistemlerinin başarısı çoğu zaman yayımlanan kılavuzlarla değerlendirilmektedir. Oysa düzenleyici bilimin gerçek laboratuvarı, denetim sırasında ortaya çıkan uygunsuzluklardır. FDA'nın her yıl yayımladığı </w:t>
      </w:r>
      <w:r>
        <w:rPr>
          <w:rFonts w:cs="Times New Roman"/>
          <w:bCs/>
          <w:noProof/>
          <w:kern w:val="0"/>
          <w14:ligatures w14:val="none"/>
        </w:rPr>
        <w:t>Warning Letter</w:t>
      </w:r>
      <w:r>
        <w:rPr>
          <w:rFonts w:cs="Times New Roman"/>
          <w:noProof/>
          <w:kern w:val="0"/>
          <w14:ligatures w14:val="none"/>
        </w:rPr>
        <w:t>'lar bu açıdan son derece değerli belgelerdir. Bunlar yalnızca belirli firmalara gönderilmiş uyarılar değildir; aynı zamanda küresel ilaç endüstrisinin kalite kültürünü yansıtan bilimsel belgelerdir.</w:t>
      </w:r>
    </w:p>
    <w:p w14:paraId="4CFBDD9C" w14:textId="77777777" w:rsidR="004A3501" w:rsidRPr="00754EC9" w:rsidRDefault="004A3501"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Son yirmi yıl içerisinde FDA tarafından dünyanın farklı ülkelerindeki üretim tesislerine gönderilen yüzlerce Warning Letter incelendiğinde dikkat çekici bir tablo ortaya çıkmaktadır. İlk bakışta bu mektupların çok farklı nedenlerle düzenlendiği düşünülebilir. Ancak ayrıntılı analiz, sorunların büyük bölümünün birkaç temel başlık altında toplandığını göstermektedir.</w:t>
      </w:r>
    </w:p>
    <w:p w14:paraId="757183CF" w14:textId="77777777" w:rsidR="004A3501" w:rsidRPr="00754EC9" w:rsidRDefault="004A3501"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En sık karşılaşılan uygunsuzluklar şunlardır:</w:t>
      </w:r>
    </w:p>
    <w:p w14:paraId="1EDA89BF" w14:textId="77777777" w:rsidR="004A3501" w:rsidRPr="00754EC9" w:rsidRDefault="004A3501" w:rsidP="00754EC9">
      <w:pPr>
        <w:numPr>
          <w:ilvl w:val="0"/>
          <w:numId w:val="23"/>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Veri bütünlüğü ihlalleri, </w:t>
      </w:r>
    </w:p>
    <w:p w14:paraId="40E32D4B" w14:textId="77777777" w:rsidR="004A3501" w:rsidRPr="00754EC9" w:rsidRDefault="004A3501" w:rsidP="00754EC9">
      <w:pPr>
        <w:numPr>
          <w:ilvl w:val="0"/>
          <w:numId w:val="23"/>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GMP uygulamalarındaki sistematik eksiklikler, </w:t>
      </w:r>
    </w:p>
    <w:p w14:paraId="664D65F8" w14:textId="77777777" w:rsidR="004A3501" w:rsidRPr="00754EC9" w:rsidRDefault="004A3501" w:rsidP="00754EC9">
      <w:pPr>
        <w:numPr>
          <w:ilvl w:val="0"/>
          <w:numId w:val="23"/>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Yetersiz kalite güvence sistemi, </w:t>
      </w:r>
    </w:p>
    <w:p w14:paraId="424DBF20" w14:textId="77777777" w:rsidR="004A3501" w:rsidRPr="00754EC9" w:rsidRDefault="004A3501" w:rsidP="00754EC9">
      <w:pPr>
        <w:numPr>
          <w:ilvl w:val="0"/>
          <w:numId w:val="23"/>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OOS (Out of Specification) sonuçlarının uygun şekilde araştırılmaması, </w:t>
      </w:r>
    </w:p>
    <w:p w14:paraId="3BA9F4E9" w14:textId="77777777" w:rsidR="004A3501" w:rsidRPr="00754EC9" w:rsidRDefault="004A3501" w:rsidP="00754EC9">
      <w:pPr>
        <w:numPr>
          <w:ilvl w:val="0"/>
          <w:numId w:val="23"/>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Yetersiz CAPA (Corrective and Preventive Action) uygulamaları, </w:t>
      </w:r>
    </w:p>
    <w:p w14:paraId="022550A9" w14:textId="77777777" w:rsidR="004A3501" w:rsidRPr="00754EC9" w:rsidRDefault="004A3501" w:rsidP="00754EC9">
      <w:pPr>
        <w:numPr>
          <w:ilvl w:val="0"/>
          <w:numId w:val="23"/>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Analitik yöntem validasyonundaki eksiklikler, </w:t>
      </w:r>
    </w:p>
    <w:p w14:paraId="6C9417D8" w14:textId="77777777" w:rsidR="004A3501" w:rsidRPr="00754EC9" w:rsidRDefault="004A3501" w:rsidP="00754EC9">
      <w:pPr>
        <w:numPr>
          <w:ilvl w:val="0"/>
          <w:numId w:val="23"/>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Yetersiz proses validasyonu, </w:t>
      </w:r>
    </w:p>
    <w:p w14:paraId="08639902" w14:textId="77777777" w:rsidR="004A3501" w:rsidRPr="00754EC9" w:rsidRDefault="004A3501" w:rsidP="00754EC9">
      <w:pPr>
        <w:numPr>
          <w:ilvl w:val="0"/>
          <w:numId w:val="23"/>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Mikrobiyolojik kontaminasyon risklerinin kontrol altına alınamaması. </w:t>
      </w:r>
    </w:p>
    <w:p w14:paraId="6FF19C8B" w14:textId="77777777" w:rsidR="004A3501" w:rsidRPr="00754EC9" w:rsidRDefault="004A3501" w:rsidP="00A747B0">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Dikkat çekici olan nokta şudur: Bu problemlerin büyük çoğunluğu </w:t>
      </w:r>
      <w:r>
        <w:rPr>
          <w:rFonts w:cs="Times New Roman"/>
          <w:bCs/>
          <w:noProof/>
          <w:kern w:val="0"/>
          <w14:ligatures w14:val="none"/>
        </w:rPr>
        <w:t>kimyasal bilgi eksikliğinden değil, kalite kültürü eksikliğinden kaynaklanmaktadır.</w:t>
      </w:r>
    </w:p>
    <w:p w14:paraId="230F70E4" w14:textId="77777777" w:rsidR="004A3501" w:rsidRDefault="004A3501" w:rsidP="00A747B0">
      <w:pPr>
        <w:spacing w:before="100" w:beforeAutospacing="1" w:after="100" w:afterAutospacing="1" w:line="240" w:lineRule="auto"/>
        <w:jc w:val="both"/>
        <w:outlineLvl w:val="1"/>
        <w:rPr>
          <w:rFonts w:cs="Times New Roman"/>
          <w:noProof/>
          <w:kern w:val="0"/>
          <w14:ligatures w14:val="none"/>
        </w:rPr>
      </w:pPr>
      <w:r>
        <w:rPr>
          <w:rFonts w:cs="Times New Roman"/>
          <w:b/>
          <w:noProof/>
          <w:kern w:val="0"/>
          <w:szCs w:val="36"/>
          <w14:ligatures w14:val="none"/>
        </w:rPr>
        <w:t>Trend Analizi</w:t>
      </w:r>
      <w:r>
        <w:rPr>
          <w:rFonts w:cs="Times New Roman"/>
          <w:bCs/>
          <w:noProof/>
          <w:kern w:val="0"/>
          <w:szCs w:val="36"/>
          <w14:ligatures w14:val="none"/>
        </w:rPr>
        <w:t xml:space="preserve">: </w:t>
      </w:r>
      <w:r>
        <w:rPr>
          <w:rFonts w:cs="Times New Roman"/>
          <w:noProof/>
          <w:kern w:val="0"/>
          <w14:ligatures w14:val="none"/>
        </w:rPr>
        <w:t>Modern kalite yönetiminde tek bir analiz sonucu çoğu zaman yeterli değildir. İlaçta kalite çoğu zaman ani olarak değil yavaş yavaş bozulur. Tablet sertliği, çözünme süresi, safsızlık düzeyi bibi hususlar giderek değişebilir.Tek tek değerlendirildiğinde bütün sonuçlar spesifikasyon içerisinde kalabilir ama eğilim analiz edildiğinde yaklaşan kalite problemi açıkça görülebilir. İşte bu nedenle FDA ve EMA istatistiksel trend analizlerine büyük önem vermektedir.</w:t>
      </w:r>
    </w:p>
    <w:p w14:paraId="226A9FFD" w14:textId="77777777" w:rsidR="0023491B" w:rsidRPr="00D87D6B" w:rsidRDefault="0023491B" w:rsidP="00A747B0">
      <w:pPr>
        <w:spacing w:before="100" w:beforeAutospacing="1" w:after="100" w:afterAutospacing="1" w:line="240" w:lineRule="auto"/>
        <w:jc w:val="both"/>
        <w:outlineLvl w:val="1"/>
        <w:rPr>
          <w:rFonts w:cs="Times New Roman"/>
          <w:b/>
          <w:bCs/>
          <w:noProof/>
          <w:kern w:val="0"/>
          <w14:ligatures w14:val="none"/>
        </w:rPr>
      </w:pPr>
      <w:r>
        <w:rPr>
          <w:rFonts w:cs="Times New Roman"/>
          <w:b/>
          <w:bCs/>
          <w:noProof/>
          <w:kern w:val="0"/>
          <w14:ligatures w14:val="none"/>
        </w:rPr>
        <w:t>KALİTE SORUNUN SEBEPLERİ:</w:t>
      </w:r>
    </w:p>
    <w:p w14:paraId="6F88797C" w14:textId="77777777" w:rsidR="0023491B" w:rsidRDefault="004A3501" w:rsidP="0023491B">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Birincisi ekonomik baskıdır. rekabet arttıkça kalite sistemleri maliyet merkezi olarak görülmeye başlanabilmektedir. İkincisi kurumsal kültürdür. Kalite güvence biriminin bağımsız olmadığı şirketlerde kalite sorunlarının gizlenme olasılığı daha yüksektir. Üçüncüsü insan faktörüdür. Kalite sistemleri ne kadar gelişmiş olursa olsun, onları uygulayan insanlar yeterince eğitilmemiş veya etik ilkelere bağlı değilse sistem zayıflayacaktır. Dördüncüsü ise yönetim anlayışıdır. Kaliteyi </w:t>
      </w:r>
      <w:r>
        <w:rPr>
          <w:rFonts w:cs="Times New Roman"/>
          <w:noProof/>
          <w:kern w:val="0"/>
          <w14:ligatures w14:val="none"/>
        </w:rPr>
        <w:lastRenderedPageBreak/>
        <w:t>yalnızca denetim sırasında gösterilecek bir performans olarak gören, yani göstermelik olarak yapan kurumlarda sürdürülebilir kalite kültürü gelişmemektedir.</w:t>
      </w:r>
    </w:p>
    <w:p w14:paraId="61A97C50" w14:textId="77777777" w:rsidR="003C42A5" w:rsidRPr="0023491B" w:rsidRDefault="003C42A5" w:rsidP="0023491B">
      <w:pPr>
        <w:spacing w:before="100" w:beforeAutospacing="1" w:after="100" w:afterAutospacing="1" w:line="240" w:lineRule="auto"/>
        <w:jc w:val="both"/>
        <w:rPr>
          <w:rFonts w:cs="Times New Roman"/>
          <w:noProof/>
          <w:kern w:val="0"/>
          <w:sz w:val="28"/>
          <w:szCs w:val="28"/>
          <w14:ligatures w14:val="none"/>
        </w:rPr>
      </w:pPr>
      <w:r>
        <w:rPr>
          <w:rFonts w:cs="Times New Roman"/>
          <w:b/>
          <w:bCs/>
          <w:noProof/>
          <w:kern w:val="36"/>
          <w:sz w:val="28"/>
          <w:szCs w:val="28"/>
          <w14:ligatures w14:val="none"/>
        </w:rPr>
        <w:t xml:space="preserve">9.7 Dünyanın En Büyük İlaç Geri Çekme Olayları: </w:t>
      </w:r>
    </w:p>
    <w:p w14:paraId="3E12E30D" w14:textId="77777777" w:rsidR="003C42A5" w:rsidRPr="00754EC9" w:rsidRDefault="003C42A5" w:rsidP="0023491B">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Bugün rutin kabul edilen birçok GMP uygulaması, biyoeşdeğerlik yaklaşımı, veri bütünlüğü ilkesi ve farmakovijilans sistemi; ağır klinik olaylar, geri çekmeler ve düzenleyici başarısızlıkların ardından geliştirilmiştir. Büyük kalite krizlerinin ortak bir özelliğkler: üretim prosesindeki değişiklikler, yetersiz kalite güvence sistemleri ve düzenleyici denetimdeki eksikliklerdir.</w:t>
      </w:r>
    </w:p>
    <w:p w14:paraId="759D4954" w14:textId="77777777" w:rsidR="003C42A5" w:rsidRPr="00754EC9" w:rsidRDefault="003C42A5" w:rsidP="00754EC9">
      <w:pPr>
        <w:spacing w:before="100" w:beforeAutospacing="1" w:after="100" w:afterAutospacing="1" w:line="240" w:lineRule="auto"/>
        <w:jc w:val="both"/>
        <w:outlineLvl w:val="1"/>
        <w:rPr>
          <w:rFonts w:cs="Times New Roman"/>
          <w:b/>
          <w:bCs/>
          <w:noProof/>
          <w:kern w:val="0"/>
          <w:sz w:val="36"/>
          <w:szCs w:val="36"/>
          <w14:ligatures w14:val="none"/>
        </w:rPr>
      </w:pPr>
      <w:r>
        <w:rPr>
          <w:rFonts w:cs="Times New Roman"/>
          <w:b/>
          <w:bCs/>
          <w:noProof/>
          <w:kern w:val="0"/>
          <w:sz w:val="28"/>
          <w:szCs w:val="36"/>
          <w14:ligatures w14:val="none"/>
        </w:rPr>
        <w:t>9.7.1. Heparin Krizi (2007–2008)</w:t>
      </w:r>
    </w:p>
    <w:p w14:paraId="2E131307" w14:textId="77777777" w:rsidR="003C42A5" w:rsidRPr="00754EC9" w:rsidRDefault="003C42A5"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Modern ilaç tarihinin en dramatik kalite olaylarından biri kontamine heparin vakasıdır. Çin'deki bazı etkin madde üreticilerinde, üretim zincirine ekonomik kazanç amacıyla </w:t>
      </w:r>
      <w:r>
        <w:rPr>
          <w:rFonts w:cs="Times New Roman"/>
          <w:bCs/>
          <w:noProof/>
          <w:kern w:val="0"/>
          <w14:ligatures w14:val="none"/>
        </w:rPr>
        <w:t>aşırı sülfatlanmış kondroitin sülfat (Oversulfated Chondroitin Sulfate, OSCS)</w:t>
      </w:r>
      <w:r>
        <w:rPr>
          <w:rFonts w:cs="Times New Roman"/>
          <w:noProof/>
          <w:kern w:val="0"/>
          <w14:ligatures w14:val="none"/>
        </w:rPr>
        <w:t xml:space="preserve"> karıştırılmıştır. Bu madde standart kalite testlerinin önemli bölümünden geçebilmiş ve dünya çapında çok sayıda ülkeye ihraç edilmiştir.</w:t>
      </w:r>
    </w:p>
    <w:p w14:paraId="2CCDC298" w14:textId="77777777" w:rsidR="003C42A5" w:rsidRPr="00754EC9" w:rsidRDefault="003C42A5"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ABD'de ve diğer ülkelerde yüzlerce ciddi advers reaksiyon bildirilmiş, hipotansiyon, anafilaktoid reaksiyonlar ve çok sayıda ölüm meydana gelmiştir. FDA'nın yürüttüğü soruşturmalar sonrasında ürünler dünya genelinde geri çekilmiş ve küresel tedarik zinciri yeniden yapılandırılmıştır.</w:t>
      </w:r>
    </w:p>
    <w:p w14:paraId="6CAF0CE5" w14:textId="77777777" w:rsidR="003C42A5" w:rsidRPr="00754EC9" w:rsidRDefault="003C42A5" w:rsidP="00754EC9">
      <w:pPr>
        <w:spacing w:before="100" w:beforeAutospacing="1" w:after="100" w:afterAutospacing="1" w:line="240" w:lineRule="auto"/>
        <w:jc w:val="both"/>
        <w:outlineLvl w:val="1"/>
        <w:rPr>
          <w:rFonts w:cs="Times New Roman"/>
          <w:b/>
          <w:bCs/>
          <w:noProof/>
          <w:kern w:val="0"/>
          <w:sz w:val="36"/>
          <w:szCs w:val="36"/>
          <w14:ligatures w14:val="none"/>
        </w:rPr>
      </w:pPr>
      <w:r>
        <w:rPr>
          <w:rFonts w:cs="Times New Roman"/>
          <w:b/>
          <w:bCs/>
          <w:noProof/>
          <w:kern w:val="0"/>
          <w:sz w:val="28"/>
          <w:szCs w:val="36"/>
          <w14:ligatures w14:val="none"/>
        </w:rPr>
        <w:t>9.7.2 Nitrozamin Krizi</w:t>
      </w:r>
    </w:p>
    <w:p w14:paraId="128E9891" w14:textId="77777777" w:rsidR="003C42A5" w:rsidRPr="00754EC9" w:rsidRDefault="003C42A5" w:rsidP="00754EC9">
      <w:pPr>
        <w:spacing w:before="100" w:beforeAutospacing="1" w:after="100" w:afterAutospacing="1" w:line="240" w:lineRule="auto"/>
        <w:jc w:val="both"/>
        <w:rPr>
          <w:rFonts w:cs="Times New Roman"/>
          <w:noProof/>
          <w:kern w:val="0"/>
          <w14:ligatures w14:val="none"/>
        </w:rPr>
      </w:pPr>
      <w:r>
        <w:rPr>
          <w:rFonts w:cs="Times New Roman"/>
          <w:bCs/>
          <w:noProof/>
          <w:kern w:val="0"/>
          <w14:ligatures w14:val="none"/>
        </w:rPr>
        <w:t xml:space="preserve">2018 yılında başlayan nitrozamin krizi, modern farmasötik tarihin en geniş kapsamlı geri çekme sürecine dönüşmüştür. </w:t>
      </w:r>
      <w:r>
        <w:rPr>
          <w:rFonts w:cs="Times New Roman"/>
          <w:noProof/>
          <w:kern w:val="0"/>
          <w14:ligatures w14:val="none"/>
        </w:rPr>
        <w:t xml:space="preserve">İlk olarak bazı </w:t>
      </w:r>
      <w:r>
        <w:rPr>
          <w:rFonts w:cs="Times New Roman"/>
          <w:bCs/>
          <w:noProof/>
          <w:kern w:val="0"/>
          <w14:ligatures w14:val="none"/>
        </w:rPr>
        <w:t>valsartan</w:t>
      </w:r>
      <w:r>
        <w:rPr>
          <w:rFonts w:cs="Times New Roman"/>
          <w:noProof/>
          <w:kern w:val="0"/>
          <w14:ligatures w14:val="none"/>
        </w:rPr>
        <w:t xml:space="preserve"> preparatlarında </w:t>
      </w:r>
      <w:r>
        <w:rPr>
          <w:rFonts w:cs="Times New Roman"/>
          <w:bCs/>
          <w:noProof/>
          <w:kern w:val="0"/>
          <w14:ligatures w14:val="none"/>
        </w:rPr>
        <w:t>N-Nitrosodimetilamin (NDMA)</w:t>
      </w:r>
      <w:r>
        <w:rPr>
          <w:rFonts w:cs="Times New Roman"/>
          <w:noProof/>
          <w:kern w:val="0"/>
          <w14:ligatures w14:val="none"/>
        </w:rPr>
        <w:t xml:space="preserve"> saptanmış, daha sonra aynı problem;</w:t>
      </w:r>
    </w:p>
    <w:p w14:paraId="037FB165" w14:textId="77777777" w:rsidR="003C42A5" w:rsidRPr="00754EC9" w:rsidRDefault="003C42A5" w:rsidP="00754EC9">
      <w:pPr>
        <w:numPr>
          <w:ilvl w:val="0"/>
          <w:numId w:val="26"/>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ranitidin, </w:t>
      </w:r>
    </w:p>
    <w:p w14:paraId="54C52471" w14:textId="77777777" w:rsidR="003C42A5" w:rsidRPr="00754EC9" w:rsidRDefault="003C42A5" w:rsidP="00754EC9">
      <w:pPr>
        <w:numPr>
          <w:ilvl w:val="0"/>
          <w:numId w:val="26"/>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metformin, </w:t>
      </w:r>
    </w:p>
    <w:p w14:paraId="2A13D819" w14:textId="77777777" w:rsidR="003C42A5" w:rsidRPr="00754EC9" w:rsidRDefault="003C42A5" w:rsidP="00754EC9">
      <w:pPr>
        <w:numPr>
          <w:ilvl w:val="0"/>
          <w:numId w:val="26"/>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rifampisin, </w:t>
      </w:r>
    </w:p>
    <w:p w14:paraId="5655F0C7" w14:textId="77777777" w:rsidR="003C42A5" w:rsidRPr="00754EC9" w:rsidRDefault="003C42A5" w:rsidP="00754EC9">
      <w:pPr>
        <w:numPr>
          <w:ilvl w:val="0"/>
          <w:numId w:val="26"/>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rifapentin, </w:t>
      </w:r>
    </w:p>
    <w:p w14:paraId="3A02D6E3" w14:textId="77777777" w:rsidR="003C42A5" w:rsidRPr="00190825" w:rsidRDefault="003C42A5" w:rsidP="00754EC9">
      <w:pPr>
        <w:numPr>
          <w:ilvl w:val="0"/>
          <w:numId w:val="26"/>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vareniklin ve başka birçok üründe de ortaya çıkmıştır.</w:t>
      </w:r>
    </w:p>
    <w:p w14:paraId="19FA9F14" w14:textId="77777777" w:rsidR="003C42A5" w:rsidRPr="00754EC9" w:rsidRDefault="003C42A5" w:rsidP="00477DA2">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Dikkat çekici olan nokta ise bu ilaçların önemli bölümü yıllardır güvenle kullanılmakta olmasıydı. Sorun biyoeşdeğerlik değil, üretim prosesiydi. Bazı sentez basamaklarında kullanılan çözücüler, reaktifler ve proses koşulları nitrozamin oluşumuna yol açıyordu. Bu olay kalite kavramını tamamen değiştirmiştir. Eskiden kalite denildiğinde etkin madde miktarı düşünülürdü, bugün ise üretim sırasında oluşabilecek eser düzeydeki safsızlıklar da kalite değerlendirmesinin ayrılmaz parçasıdır. </w:t>
      </w:r>
    </w:p>
    <w:p w14:paraId="3EB58939" w14:textId="77777777" w:rsidR="003C42A5" w:rsidRPr="00754EC9" w:rsidRDefault="003C42A5" w:rsidP="00754EC9">
      <w:pPr>
        <w:spacing w:before="100" w:beforeAutospacing="1" w:after="100" w:afterAutospacing="1" w:line="240" w:lineRule="auto"/>
        <w:jc w:val="both"/>
        <w:outlineLvl w:val="1"/>
        <w:rPr>
          <w:rFonts w:cs="Times New Roman"/>
          <w:b/>
          <w:bCs/>
          <w:noProof/>
          <w:kern w:val="0"/>
          <w:sz w:val="36"/>
          <w:szCs w:val="36"/>
          <w14:ligatures w14:val="none"/>
        </w:rPr>
      </w:pPr>
      <w:r>
        <w:rPr>
          <w:rFonts w:cs="Times New Roman"/>
          <w:b/>
          <w:bCs/>
          <w:noProof/>
          <w:kern w:val="0"/>
          <w:sz w:val="28"/>
          <w:szCs w:val="36"/>
          <w14:ligatures w14:val="none"/>
        </w:rPr>
        <w:t>9.7.3 Ranitidin Geri Çekilmesi</w:t>
      </w:r>
    </w:p>
    <w:p w14:paraId="555E2A12" w14:textId="77777777" w:rsidR="003C42A5" w:rsidRPr="00754EC9" w:rsidRDefault="003C42A5" w:rsidP="00477DA2">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Ranitidin olayı nitrozamin krizinin en dikkat çekici örneklerinden biridir. İlk değerlendirmelerde NDMA'nın yalnızca üretim sırasında oluştuğu düşünülmekteydi. Daha sonra yapılan araştırmalar ranitidin molekülünün belirli sıcaklık ve depolama koşullarında zaman içerisinde NDMA </w:t>
      </w:r>
      <w:r>
        <w:rPr>
          <w:rFonts w:cs="Times New Roman"/>
          <w:noProof/>
          <w:kern w:val="0"/>
          <w14:ligatures w14:val="none"/>
        </w:rPr>
        <w:lastRenderedPageBreak/>
        <w:t>oluşturabileceğini gösterdi. Bu nedenle birçok ülkede ranitidin preparatları tamamen piyasadan çekildi. Ürünün raf ömrü boyunca kimyasal davranışı da ayrıntılı biçimde değerlendirilmeli, stabilite çalışmaları yalnızca etkin madde kaybını değil, yeni safsızlık oluşumunu da incelemek gerelmektedir.</w:t>
      </w:r>
    </w:p>
    <w:p w14:paraId="1880D0A1" w14:textId="77777777" w:rsidR="00374B86" w:rsidRPr="00754EC9" w:rsidRDefault="00374B86" w:rsidP="00754EC9">
      <w:pPr>
        <w:spacing w:before="100" w:beforeAutospacing="1" w:after="100" w:afterAutospacing="1" w:line="240" w:lineRule="auto"/>
        <w:jc w:val="both"/>
        <w:outlineLvl w:val="0"/>
        <w:rPr>
          <w:rFonts w:cs="Times New Roman"/>
          <w:b/>
          <w:bCs/>
          <w:noProof/>
          <w:kern w:val="36"/>
          <w:sz w:val="48"/>
          <w:szCs w:val="48"/>
          <w14:ligatures w14:val="none"/>
        </w:rPr>
      </w:pPr>
      <w:r>
        <w:rPr>
          <w:rFonts w:cs="Times New Roman"/>
          <w:b/>
          <w:bCs/>
          <w:noProof/>
          <w:kern w:val="36"/>
          <w:sz w:val="32"/>
          <w:szCs w:val="48"/>
          <w14:ligatures w14:val="none"/>
        </w:rPr>
        <w:t xml:space="preserve">10. Dar Terapötik İndeksli İlaçlar: </w:t>
      </w:r>
    </w:p>
    <w:p w14:paraId="20D06D08"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Biyoeşdeğerlik sistemine yöneltilen en önemli eleştirilerden biri, bütün ilaçlara aynı istatistiksel yaklaşımın uygulanmasıdır. Gerçekte ilaçlar birbirinden çok farklıdır, bir antihistaminik ile bir antiepileptik aynı risk düzeyine sahip değildir. Bir vitamin preparatı ile bir immünsüpresan aynı güvenlik marjına sahip değildir. İşte bu nedenle farmakolojide "Dar Terapötik İndeksli İlaçlar (Narrow Therapeutic Index, NTI)" ayrı bir grup olarak değerlendirilmektedir.</w:t>
      </w:r>
    </w:p>
    <w:p w14:paraId="76F39CC0"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Bu ilaçlarda terapötik doz ile toksik doz arasındaki fark oldukça küçüktür. Dolayısıyla plazma konsantrasyonundaki küçük değişiklikler bile ciddi klinik sonuçlara yol açabilir. Warfarin, digoksin, fenitoin, karbamazepin, lityum, levotiroksin, takrolimus, siklosporin ve bazı antiaritmik ilaçlar bu grubun klasik örnekleridir. Bu nedenle FDA ve EMA son yıllarda NTI ilaçlar için daha sıkı biyoeşdeğerlik kriterleri geliştirmiştir. Bazı ürünlerde kabul sınırları %90–111 düzeyine kadar daraltılmıştır. Türkiye de bu uygulamayı kabul etmiştir.</w:t>
      </w:r>
    </w:p>
    <w:p w14:paraId="7AD17193"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Yıllardır aynı warfarin preparatını kullanan bir hastanın farklı jenerik preparatlara sık sık geçirilmesi INR dalgalanmalarına neden olabilir. Levotiroksin preparatındaki küçük farmakokinetik farklılıklar TSH düzeylerini değiştirebilir. Takrolimus konsantrasyonundaki sınırlı değişiklikler organ reddi veya toksisite ile sonuçlanabilir.</w:t>
      </w:r>
    </w:p>
    <w:p w14:paraId="4FFF0FF5" w14:textId="77777777" w:rsidR="00374B86" w:rsidRPr="00754EC9" w:rsidRDefault="00374B86" w:rsidP="00477DA2">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Bu nedenle birçok uzman, özellikle NTI ilaçlarda marka değişikliklerinin hekim kontrolünde yapılmasını ve gerektiğinde terapötik ilaç düzeyi izlemi uygulanmasını önermektedir.</w:t>
      </w:r>
    </w:p>
    <w:p w14:paraId="07141814" w14:textId="77777777" w:rsidR="00374B86" w:rsidRPr="00754EC9" w:rsidRDefault="00374B86" w:rsidP="00754EC9">
      <w:pPr>
        <w:spacing w:before="100" w:beforeAutospacing="1" w:after="100" w:afterAutospacing="1" w:line="240" w:lineRule="auto"/>
        <w:jc w:val="both"/>
        <w:outlineLvl w:val="0"/>
        <w:rPr>
          <w:rFonts w:cs="Times New Roman"/>
          <w:b/>
          <w:bCs/>
          <w:noProof/>
          <w:kern w:val="36"/>
          <w:sz w:val="48"/>
          <w:szCs w:val="48"/>
          <w14:ligatures w14:val="none"/>
        </w:rPr>
      </w:pPr>
      <w:r>
        <w:rPr>
          <w:rFonts w:cs="Times New Roman"/>
          <w:b/>
          <w:bCs/>
          <w:noProof/>
          <w:kern w:val="36"/>
          <w:sz w:val="32"/>
          <w:szCs w:val="48"/>
          <w14:ligatures w14:val="none"/>
        </w:rPr>
        <w:t>11. Yardımcı Maddeler Gerçekten "İnert" midir?</w:t>
      </w:r>
    </w:p>
    <w:p w14:paraId="28EC6439"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Farmakoloji eğitiminde yıllarca yardımcı maddelerin (excipients) "farmakolojik olarak inert" olduğu öğretilmiştir. Bu ifade teorik olarak doğru görünmekle birlikte günümüzde artık önemli ölçüde sorgulanmaktadır. Yardımcı maddelerin büyük çoğunluğu doğrudan farmakolojik aktivite göstermese de, ilacın çözünmesini, emilmesini, biyoyararlanımını, stabilitesini ve hatta bazı hastalarda tolerabilitesini belirgin biçimde etkileyebilmektedir.</w:t>
      </w:r>
    </w:p>
    <w:p w14:paraId="0FCDB7F3"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Bir tablet yalnızca etkin maddeden oluşmaz. Dolgu maddeleri, bağlayıcılar, kaydırıcılar, dağıtıcı ajanlar, kaplama materyalleri ve koruyucular toplam tablet ağırlığının önemli bölümünü oluşturur. Bazı preparatlarda etkin madde toplam ağırlığın yalnızca yüzde beş ila onunu oluştururken geri kalan kısmı yardımcı maddelerden meydana gelir.</w:t>
      </w:r>
    </w:p>
    <w:p w14:paraId="6216A590"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Dolayısıyla "aynı etkin madde" ifadesi tek başına aynı farmasötik davranış anlamına gelmez. Laktoz, mannitol, mikrokristalin selüloz, nişasta türevleri, krospovidon, sodyum nişasta glikolat, hidroksipropil metilselüloz ve magnezyum stearat gibi yardımcı maddelerin tablet parçalanması, çözünme hızı ve biyoyararlanım üzerinde önemli etkileri olduğu uzun yıllardır bilinmektedir. </w:t>
      </w:r>
      <w:r>
        <w:rPr>
          <w:rFonts w:cs="Times New Roman"/>
          <w:noProof/>
          <w:kern w:val="0"/>
          <w14:ligatures w14:val="none"/>
        </w:rPr>
        <w:lastRenderedPageBreak/>
        <w:t>Özellikle modifiye salımlı preparatlarda yardımcı madde seçimi, etkin maddenin kendisi kadar önem taşımaktadır.</w:t>
      </w:r>
    </w:p>
    <w:p w14:paraId="19DA7FAC"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Yardımcı maddelerin klinik önemini ortaya koyan en çarpıcı örneklerden biri Avustralya'da yaşanan, daha önce bahsettiğimiz fenitoin krizidir. Yardımcı madde olarak kullanılan kalsiyum sülfatın laktoz ile değiştirilmesi sonucunda serum fenitoin düzeyleri yaklaşık dört ila beş kat artmış, yüzlerce epilepsi hastasında toksisite gelişmiştir. Değişen etkin madde değil, yalnızca yardımcı maddeydi. Buna rağmen klinik sonuç dramatik olmuştur.</w:t>
      </w:r>
    </w:p>
    <w:p w14:paraId="6E60B4B6" w14:textId="77777777" w:rsidR="00374B86" w:rsidRPr="00754EC9" w:rsidRDefault="00374B86" w:rsidP="00544D74">
      <w:pPr>
        <w:spacing w:before="100" w:beforeAutospacing="1" w:after="100" w:afterAutospacing="1" w:line="240" w:lineRule="auto"/>
        <w:jc w:val="both"/>
        <w:rPr>
          <w:rFonts w:cs="Times New Roman"/>
          <w:noProof/>
          <w:kern w:val="0"/>
          <w14:ligatures w14:val="none"/>
        </w:rPr>
      </w:pPr>
      <w:r>
        <w:rPr>
          <w:rFonts w:cs="Times New Roman"/>
          <w:bCs/>
          <w:noProof/>
          <w:kern w:val="0"/>
          <w14:ligatures w14:val="none"/>
        </w:rPr>
        <w:t>Etkin madde ilacın ne yapacağını belirler; yardımcı maddeler ise bunu nasıl yapacağını belirler.</w:t>
      </w:r>
      <w:r>
        <w:rPr>
          <w:rFonts w:cs="Times New Roman"/>
          <w:noProof/>
          <w:kern w:val="0"/>
          <w14:ligatures w14:val="none"/>
        </w:rPr>
        <w:t xml:space="preserve"> Dolayısıyla yardımcı maddelerin "önemsiz" olduğu yönündeki klasik yaklaşım günümüz bilimsel verileriyle bağdaşmamaktadır.</w:t>
      </w:r>
    </w:p>
    <w:p w14:paraId="0F01920C" w14:textId="77777777" w:rsidR="00374B86" w:rsidRPr="00754EC9" w:rsidRDefault="00374B86" w:rsidP="00172958">
      <w:pPr>
        <w:spacing w:before="100" w:beforeAutospacing="1" w:after="100" w:afterAutospacing="1" w:line="240" w:lineRule="auto"/>
        <w:jc w:val="both"/>
        <w:outlineLvl w:val="0"/>
        <w:rPr>
          <w:rFonts w:cs="Times New Roman"/>
          <w:noProof/>
          <w:kern w:val="0"/>
          <w14:ligatures w14:val="none"/>
        </w:rPr>
      </w:pPr>
      <w:r>
        <w:rPr>
          <w:rFonts w:cs="Times New Roman"/>
          <w:b/>
          <w:bCs/>
          <w:noProof/>
          <w:kern w:val="36"/>
          <w:sz w:val="28"/>
          <w:szCs w:val="28"/>
          <w14:ligatures w14:val="none"/>
        </w:rPr>
        <w:t xml:space="preserve">12. Piyasa Sonrası Kalite Kontrolü: </w:t>
      </w:r>
    </w:p>
    <w:p w14:paraId="4A4C8770" w14:textId="77777777" w:rsidR="00374B86" w:rsidRPr="00754EC9" w:rsidRDefault="00172958"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Ruhsatlandırma sırasında değerlendirilen ürün ile milyonlarca kutu halinde piyasaya sunulan ticari üretim arasında yıllar bulunabilir. Bu süre içerisinde üretim kapasitesi artabilir, ekipman değişebilir, yardımcı madde tedarikçisi değişebilir, üretim başka bir ülkeye taşınabilir veya aynı ürün farklı fabrikalarda üretilebilir. İşte bu nedenle modern kalite anlayışı yalnızca ruhsatlandırmaya değil, </w:t>
      </w:r>
      <w:r>
        <w:rPr>
          <w:rFonts w:cs="Times New Roman"/>
          <w:bCs/>
          <w:noProof/>
          <w:kern w:val="0"/>
          <w14:ligatures w14:val="none"/>
        </w:rPr>
        <w:t>ürünün tüm yaşam döngüsüne</w:t>
      </w:r>
      <w:r>
        <w:rPr>
          <w:rFonts w:cs="Times New Roman"/>
          <w:noProof/>
          <w:kern w:val="0"/>
          <w14:ligatures w14:val="none"/>
        </w:rPr>
        <w:t xml:space="preserve"> odaklanmaktadır.</w:t>
      </w:r>
    </w:p>
    <w:p w14:paraId="74F4AC8D" w14:textId="77777777" w:rsidR="00374B86" w:rsidRPr="00754EC9" w:rsidRDefault="00374B86" w:rsidP="00172958">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Avrupa Birliği bu amaçla Resmî İlaç Kontrol Laboratuvarları Ağı'nı (Official Medicines Control Laboratories, OMCL) kurmuştur. OMCL sistemi sayesinde piyasadan rastgele örneklenen ilaçlar bağımsız kamu laboratuvarlarında yeniden analiz edilmektedir. FDA ise risk esaslı örnekleme sistemi uygulamakta, piyasadaki ürünlerden düzenli numuneler almakta ve gerektiğinde habersiz üretim tesisi denetimleri gerçekleştirmektedir. Yani, ü</w:t>
      </w:r>
      <w:r>
        <w:rPr>
          <w:rFonts w:cs="Times New Roman"/>
          <w:bCs/>
          <w:noProof/>
          <w:kern w:val="0"/>
          <w14:ligatures w14:val="none"/>
        </w:rPr>
        <w:t xml:space="preserve">reticinin kendi kalite kontrol sonuçları tek başına yeterli kabul edilmemektedir. </w:t>
      </w:r>
      <w:r>
        <w:rPr>
          <w:rFonts w:cs="Times New Roman"/>
          <w:noProof/>
          <w:kern w:val="0"/>
          <w14:ligatures w14:val="none"/>
        </w:rPr>
        <w:t>Bağımsız doğrulama, modern ilaç düzenleme sisteminin temelidir.</w:t>
      </w:r>
    </w:p>
    <w:p w14:paraId="698C8765" w14:textId="77777777" w:rsidR="00374B86" w:rsidRPr="00172958" w:rsidRDefault="00374B86" w:rsidP="00754EC9">
      <w:pPr>
        <w:spacing w:before="100" w:beforeAutospacing="1" w:after="100" w:afterAutospacing="1" w:line="240" w:lineRule="auto"/>
        <w:jc w:val="both"/>
        <w:outlineLvl w:val="0"/>
        <w:rPr>
          <w:rFonts w:cs="Times New Roman"/>
          <w:b/>
          <w:bCs/>
          <w:noProof/>
          <w:kern w:val="36"/>
          <w:sz w:val="28"/>
          <w:szCs w:val="28"/>
          <w14:ligatures w14:val="none"/>
        </w:rPr>
      </w:pPr>
      <w:r>
        <w:rPr>
          <w:rFonts w:cs="Times New Roman"/>
          <w:b/>
          <w:bCs/>
          <w:noProof/>
          <w:kern w:val="36"/>
          <w:sz w:val="32"/>
          <w:szCs w:val="48"/>
          <w14:ligatures w14:val="none"/>
        </w:rPr>
        <w:t xml:space="preserve">13. </w:t>
      </w:r>
      <w:r>
        <w:rPr>
          <w:rFonts w:cs="Times New Roman"/>
          <w:b/>
          <w:bCs/>
          <w:noProof/>
          <w:kern w:val="36"/>
          <w:sz w:val="28"/>
          <w:szCs w:val="28"/>
          <w14:ligatures w14:val="none"/>
        </w:rPr>
        <w:t>Türkiye'de Kalite Güvencesi ve Denetim Var mı?</w:t>
      </w:r>
    </w:p>
    <w:p w14:paraId="4F33165E"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Türkiye son yirmi yılda ilaç mevzuatı açısından önemli ilerlemeler kaydetmiştir. TİTCK'nın yeniden yapılandırılması, Avrupa Birliği mevzuatına uyum çalışmaları, PIC/S üyeliği, biyoeşdeğerlik rehberlerinin güncellenmesi ve GMP standartlarının geliştirilmesi küçümsenmemesi gereken gelişmelerdir ama bunların ne kadarı teorikten pratiğe geçmiştir, bilinmez. Hemen hiçbir konuda alınan kararlar kamuoyu ile paylaşılmaz. Düzenleyici sistemlerin başarısı yayımlanan yönetmeliklerle değil, uygulamanın sonuçlarıyla ölçülür.</w:t>
      </w:r>
    </w:p>
    <w:p w14:paraId="75EDE478" w14:textId="77777777" w:rsidR="00374B86" w:rsidRDefault="00374B86" w:rsidP="00754EC9">
      <w:pPr>
        <w:spacing w:before="100" w:beforeAutospacing="1" w:after="100" w:afterAutospacing="1" w:line="240" w:lineRule="auto"/>
        <w:jc w:val="both"/>
        <w:rPr>
          <w:rFonts w:cs="Times New Roman"/>
          <w:bCs/>
          <w:noProof/>
          <w:kern w:val="0"/>
          <w14:ligatures w14:val="none"/>
        </w:rPr>
      </w:pPr>
      <w:r>
        <w:rPr>
          <w:rFonts w:cs="Times New Roman"/>
          <w:noProof/>
          <w:kern w:val="0"/>
          <w14:ligatures w14:val="none"/>
        </w:rPr>
        <w:t>Bugün Türkiye'de yaklaşık on altı bin civarında ruhsatlı beşerî tıbbi ürün bulunmaktadır. Bunların önemli bölümü farklı üretim tesislerinde üretilmekte, farklı etkin madde kaynakları kullanılmakta ve farklı kalite riskleri taşımaktadır. Senede 400-600 milyon kutu civarında ilaç üretilmektedir. TİTCK nun resmi laboratuvarlarında yapılan analiz sayısı bunun küsüratı mertebesindedir.</w:t>
      </w:r>
      <w:r>
        <w:rPr>
          <w:rFonts w:cs="Times New Roman"/>
          <w:bCs/>
          <w:noProof/>
          <w:kern w:val="0"/>
          <w14:ligatures w14:val="none"/>
        </w:rPr>
        <w:t>Bu büyüklükte bir pazarda piyasaya sunulan ürünlerin tamamını düzenli olarak bağımsız laboratuvar analizlerinden geçirecek insan gücü, laboratuvar kapasitesi ve mali kaynak mevcut mudur?</w:t>
      </w:r>
    </w:p>
    <w:p w14:paraId="4262C502" w14:textId="77777777" w:rsidR="00374B86" w:rsidRPr="00754EC9" w:rsidRDefault="00720DC7" w:rsidP="00754EC9">
      <w:pPr>
        <w:spacing w:before="100" w:beforeAutospacing="1" w:after="100" w:afterAutospacing="1" w:line="240" w:lineRule="auto"/>
        <w:jc w:val="both"/>
        <w:rPr>
          <w:rFonts w:cs="Times New Roman"/>
          <w:noProof/>
          <w:kern w:val="0"/>
          <w14:ligatures w14:val="none"/>
        </w:rPr>
      </w:pPr>
      <w:r>
        <w:rPr>
          <w:rFonts w:cs="Times New Roman"/>
          <w:bCs/>
          <w:noProof/>
          <w:kern w:val="0"/>
          <w14:ligatures w14:val="none"/>
        </w:rPr>
        <w:lastRenderedPageBreak/>
        <w:t xml:space="preserve">Türkiye açısından </w:t>
      </w:r>
      <w:r>
        <w:rPr>
          <w:rFonts w:cs="Times New Roman"/>
          <w:noProof/>
          <w:kern w:val="0"/>
          <w14:ligatures w14:val="none"/>
        </w:rPr>
        <w:t>ikinci önemli konu şeffaflıktır. FDA denetim raporlarını yayımlar, EMA bilimsel değerlendirme raporlarını yayımlar.Avrupa geri çekme kararlarını ayrıntılı biçimde yayımlar. Uyarı mektupları (Warning Letter) kamuya açıktır, herkes tarafından okunabilir. EPAR  raporları kamuya açıktır.</w:t>
      </w:r>
    </w:p>
    <w:p w14:paraId="622CA97A" w14:textId="77777777" w:rsidR="00374B86" w:rsidRPr="00754EC9" w:rsidRDefault="00374B86" w:rsidP="0063109E">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Türkiye'de ise ruhsatlı ürün listeleri yayımlanmasına rağmen bilimsel değerlendirme raporlarının, biyoeşdeğerlik inceleme gerekçelerinin, GMP uygunsuzluklarının ve piyasa sonrası kalite analizlerinin aynı ayrıntı düzeyinde kamuoyu ile paylaşılmaz. Unutulmamalı ki, şeffaflık kalite sisteminin ayrılmaz bir parçasıdır, bilimsel güven ve kuruma güven Bilimsel güven kapalı kapılar ardında oluşturulamaz.</w:t>
      </w:r>
    </w:p>
    <w:p w14:paraId="666E9FA9" w14:textId="77777777" w:rsidR="00374B86" w:rsidRPr="0063109E" w:rsidRDefault="00374B86" w:rsidP="00754EC9">
      <w:pPr>
        <w:spacing w:before="100" w:beforeAutospacing="1" w:after="100" w:afterAutospacing="1" w:line="240" w:lineRule="auto"/>
        <w:jc w:val="both"/>
        <w:outlineLvl w:val="0"/>
        <w:rPr>
          <w:rFonts w:cs="Times New Roman"/>
          <w:b/>
          <w:bCs/>
          <w:noProof/>
          <w:kern w:val="36"/>
          <w:sz w:val="28"/>
          <w:szCs w:val="28"/>
          <w14:ligatures w14:val="none"/>
        </w:rPr>
      </w:pPr>
      <w:r>
        <w:rPr>
          <w:rFonts w:cs="Times New Roman"/>
          <w:b/>
          <w:bCs/>
          <w:noProof/>
          <w:kern w:val="36"/>
          <w:sz w:val="28"/>
          <w:szCs w:val="28"/>
          <w14:ligatures w14:val="none"/>
        </w:rPr>
        <w:t>14. En Büyük Yanlış: "Jenerik mi Daha İyi, Orijinal mi?"</w:t>
      </w:r>
    </w:p>
    <w:p w14:paraId="3CEFF747"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Yıllardır kamuoyunda aynı tartışma yapılmaktadır. ,Orijinal ilaç daha mı iyidir?, Jenerik ilaç daha mı kötüdür? Bilim bu soruyu çoktan geride bırakmıştır, orijinal ilaç ta kötü olabileceği gibi jenerik ilaçta çok iyi olabilir. Kaliteli üretilmiş, doğru biyoeşdeğerlik çalışması yapılmış, iyi denetlenen bir jenerik ilaç ile referans ürün arasında klinik açıdan anlamlı fark beklenmez.</w:t>
      </w:r>
    </w:p>
    <w:p w14:paraId="5CEE3350"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Buna karşılık kötü denetlenen bir üretim sistemi içerisinde üretilen ürünün orijinal veya jenerik olması kalite açısından tek başına hiçbir anlam taşımaz. Kalite molekülde değil, sistemde, ve denetimdedir. İşte bu nedenle jenerik ilaç tartışmasını "ucuz-kalitesiz" eksenine indirgemek bilimsel olarak savunulabilir değildir.</w:t>
      </w:r>
    </w:p>
    <w:p w14:paraId="393359B5"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Gerçek tartışma; düzenleyici otoritelerin bilimsel bağımsızlığı, denetim kapasitesi, şeffaflığı ve yaşam döngüsü boyunca kaliteyi doğrulayabilme gücü üzerinde yürütülmelidir.</w:t>
      </w:r>
    </w:p>
    <w:p w14:paraId="02053FD6" w14:textId="77777777" w:rsidR="00374B86" w:rsidRPr="00754EC9" w:rsidRDefault="00374B86" w:rsidP="00754EC9">
      <w:pPr>
        <w:spacing w:before="100" w:beforeAutospacing="1" w:after="100" w:afterAutospacing="1" w:line="240" w:lineRule="auto"/>
        <w:jc w:val="both"/>
        <w:outlineLvl w:val="0"/>
        <w:rPr>
          <w:rFonts w:cs="Times New Roman"/>
          <w:b/>
          <w:bCs/>
          <w:noProof/>
          <w:kern w:val="36"/>
          <w:sz w:val="48"/>
          <w:szCs w:val="48"/>
          <w14:ligatures w14:val="none"/>
        </w:rPr>
      </w:pPr>
      <w:r>
        <w:rPr>
          <w:rFonts w:cs="Times New Roman"/>
          <w:b/>
          <w:bCs/>
          <w:noProof/>
          <w:kern w:val="36"/>
          <w:sz w:val="32"/>
          <w:szCs w:val="48"/>
          <w14:ligatures w14:val="none"/>
        </w:rPr>
        <w:t>15. Biyobenzer İlaçlar: Jenerik Kavramının Yanlış Kullanıldığı Alan</w:t>
      </w:r>
    </w:p>
    <w:p w14:paraId="1E6EA85F"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Kamuoyunda en sık karşılaşılan kavram karmaşalarından biri biyolojik ilaçlarla jenerik ilaçların aynı kategoriye konulmasıdır. Oysa bilimsel açıdan bu iki kavram arasında temel farklılıklar bulunmaktadır.</w:t>
      </w:r>
    </w:p>
    <w:p w14:paraId="163DFDC3"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Klasik küçük moleküllü ilaçlar kimyasal sentez yoluyla üretilir. Molekül yapıları kesin olarak tanımlanabilir ve aynı kimyasal yapı farklı üreticiler tarafından neredeyse birebir oluşturulabilir. Bu nedenle biyoeşdeğerlik çalışması, klinik etkinliğin büyük ölçüde öngörülebilmesi için yeterli kabul edilmektedir.</w:t>
      </w:r>
    </w:p>
    <w:p w14:paraId="633CE3A0"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Biyolojik ilaçlar ise canlı hücre sistemlerinde üretilen son derece karmaşık makromoleküllerdir. Monoklonal antikorlar, rekombinant proteinler, füzyon proteinleri, büyüme faktörleri ve birçok yeni nesil tedavi bu gruba girmektedir. Bu ürünlerin üç boyutlu yapısı, glikozilasyon profili, katlanma özellikleri ve immünojenite potansiyeli üretim sürecinden doğrudan etkilenmektedir. Bu nedenle biyolojik ilaçların gerçek anlamda "jeneriği" yoktur. Bunların yerine "biyobenzer" (biosimilar) kavramı kullanılmaktadır.</w:t>
      </w:r>
    </w:p>
    <w:p w14:paraId="31F55D66"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Biyobenzer ürünler referans biyolojik ilacın aynısı değildir; referans ürüne yüksek derecede benzer olduğu gösterilmiş ürünlerdir. Bu nedenle ruhsatlandırma sürecinde yalnızca farmakokinetik </w:t>
      </w:r>
      <w:r>
        <w:rPr>
          <w:rFonts w:cs="Times New Roman"/>
          <w:noProof/>
          <w:kern w:val="0"/>
          <w14:ligatures w14:val="none"/>
        </w:rPr>
        <w:lastRenderedPageBreak/>
        <w:t>karşılaştırmalar yeterli görülmez. Karşılaştırmalı analitik karakterizasyon, fonksiyonel çalışmalar, immünojenite değerlendirmeleri ve gerektiğinde karşılaştırmalı klinik araştırmalar da istenir.</w:t>
      </w:r>
    </w:p>
    <w:p w14:paraId="2D0CD797" w14:textId="77777777" w:rsidR="00374B86" w:rsidRPr="00754EC9" w:rsidRDefault="00374B86" w:rsidP="0063109E">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EMA 2006 yılında biyobenzer ilaçlar için dünyadaki ilk ayrıntılı düzenleyici çerçeveyi oluşturmuş, FDA ise bunu daha sonra izlemiştir. Bu yaklaşım son derece önemli bir bilimsel gerçeği ortaya koymaktadır. </w:t>
      </w:r>
      <w:r>
        <w:rPr>
          <w:rFonts w:cs="Times New Roman"/>
          <w:bCs/>
          <w:noProof/>
          <w:kern w:val="0"/>
          <w14:ligatures w14:val="none"/>
        </w:rPr>
        <w:t xml:space="preserve">İlacın moleküler karmaşıklığı arttıkça, kalite güvencesi için gereken bilimsel kanıt miktarı da artmaktadır. </w:t>
      </w:r>
      <w:r>
        <w:rPr>
          <w:rFonts w:cs="Times New Roman"/>
          <w:noProof/>
          <w:kern w:val="0"/>
          <w14:ligatures w14:val="none"/>
        </w:rPr>
        <w:t>Dolayısıyla küçük moleküllü ilaçlarda biyoeşdeğerlik yeterli olabilirken, biyolojik ürünlerde aynı yaklaşım uygulanamaz.</w:t>
      </w:r>
    </w:p>
    <w:p w14:paraId="60B784E9" w14:textId="77777777" w:rsidR="00374B86" w:rsidRPr="0063109E" w:rsidRDefault="00374B86" w:rsidP="00754EC9">
      <w:pPr>
        <w:spacing w:before="100" w:beforeAutospacing="1" w:after="100" w:afterAutospacing="1" w:line="240" w:lineRule="auto"/>
        <w:jc w:val="both"/>
        <w:outlineLvl w:val="0"/>
        <w:rPr>
          <w:rFonts w:cs="Times New Roman"/>
          <w:b/>
          <w:bCs/>
          <w:noProof/>
          <w:kern w:val="36"/>
          <w:sz w:val="28"/>
          <w:szCs w:val="28"/>
          <w14:ligatures w14:val="none"/>
        </w:rPr>
      </w:pPr>
      <w:r>
        <w:rPr>
          <w:rFonts w:cs="Times New Roman"/>
          <w:b/>
          <w:bCs/>
          <w:noProof/>
          <w:kern w:val="36"/>
          <w:sz w:val="28"/>
          <w:szCs w:val="28"/>
          <w14:ligatures w14:val="none"/>
        </w:rPr>
        <w:t>16. Geleceğin Kalite Güvencesi: Yapay Zekâ, Sürekli Üretim ve Gerçek Yaşam Verileri</w:t>
      </w:r>
    </w:p>
    <w:p w14:paraId="7B72BC4D"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İlaç kalite güvencesi son yıllarda yalnızca düzenleyici kurallarla değil, teknolojiyle de yeniden şekillenmektedir. Yapay zekâ destekli görüntü analizleri, proses analitik teknolojileri (Process Analytical Technology, PAT), sürekli üretim (Continuous Manufacturing), gerçek zamanlı seri serbest bırakma (Real Time Release Testing) ve dijital kalite yönetim sistemleri ilaç üretiminde yeni bir dönemin başlangıcını oluşturmaktadır.</w:t>
      </w:r>
    </w:p>
    <w:p w14:paraId="7BAED81F"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FDA yaklaşık yirmi yıldır "Quality by Design (QbD)" yaklaşımını teşvik etmektedir. Bu anlayışın temel ilkesi k</w:t>
      </w:r>
      <w:r>
        <w:rPr>
          <w:rFonts w:cs="Times New Roman"/>
          <w:bCs/>
          <w:noProof/>
          <w:kern w:val="0"/>
          <w14:ligatures w14:val="none"/>
        </w:rPr>
        <w:t>alitenin son üründe test edilmesi değil, kalitenin ürün tasarlanırken oluşturulmasıdır.</w:t>
      </w:r>
    </w:p>
    <w:p w14:paraId="7DA60ABB"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Bugün üretimin her aşaması çevrim içi olarak izlenebilmekte, kritik proses parametreleri anlık değerlendirilebilmekte ve olası sapmalar ürün daha üretilmeden önlenebilmektedir. Yakın gelecekte yapay zekâ algoritmaları;</w:t>
      </w:r>
    </w:p>
    <w:p w14:paraId="65F6904F" w14:textId="77777777" w:rsidR="00374B86" w:rsidRPr="00754EC9" w:rsidRDefault="00374B86" w:rsidP="00754EC9">
      <w:pPr>
        <w:numPr>
          <w:ilvl w:val="0"/>
          <w:numId w:val="4"/>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üretim sapmalarını önceden tahmin edebilecek,</w:t>
      </w:r>
    </w:p>
    <w:p w14:paraId="3F0B0196" w14:textId="77777777" w:rsidR="00374B86" w:rsidRPr="00754EC9" w:rsidRDefault="00374B86" w:rsidP="00754EC9">
      <w:pPr>
        <w:numPr>
          <w:ilvl w:val="0"/>
          <w:numId w:val="4"/>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GMP uygunsuzluklarını erken saptayabilecek,</w:t>
      </w:r>
    </w:p>
    <w:p w14:paraId="2448BDFF" w14:textId="77777777" w:rsidR="00374B86" w:rsidRPr="00754EC9" w:rsidRDefault="00374B86" w:rsidP="00754EC9">
      <w:pPr>
        <w:numPr>
          <w:ilvl w:val="0"/>
          <w:numId w:val="4"/>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çözünme profillerini öngörebilecek,</w:t>
      </w:r>
    </w:p>
    <w:p w14:paraId="15ADA5B3" w14:textId="77777777" w:rsidR="00374B86" w:rsidRPr="00754EC9" w:rsidRDefault="00374B86" w:rsidP="00754EC9">
      <w:pPr>
        <w:numPr>
          <w:ilvl w:val="0"/>
          <w:numId w:val="4"/>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hatta biyoeşdeğerlik çalışmalarının tasar mını optimize edebilecektir.</w:t>
      </w:r>
    </w:p>
    <w:p w14:paraId="41BA7122" w14:textId="77777777" w:rsidR="00374B86" w:rsidRPr="00754EC9" w:rsidRDefault="000509E8" w:rsidP="000509E8">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Bu durumda yapay zeka  bilimin yerinemi geçecektir. Bu gün için yapay zekâ karar vermemekte, kararı bilim vermektedir. Teknoloji yalnızca daha doğru karar alınmasına yardımcı olmaktadır.</w:t>
      </w:r>
    </w:p>
    <w:p w14:paraId="28930C88" w14:textId="77777777" w:rsidR="004E399A" w:rsidRDefault="00000000">
      <w:pPr>
        <w:spacing w:after="140"/>
        <w:jc w:val="both"/>
      </w:pPr>
      <w:r>
        <w:t>Önümüzdeki on yılda ilaç ruhsatlandırmasının önemli ölçüde değişeceği öngörülmektedir: yapay zekâ destekli kalite analizleri, gerçek zamanlı üretim izlemi ve dijital ikiz (digital twin) modelleri, kalite güvencesini statik bir ruhsat anından sürekli bir izleme sürecine dönüştürecektir. Ancak bu araçların değeri, ancak bağımsız doğrulama ve şeffaflık kültürüyle birleştiğinde ortaya çıkar; teknoloji, zayıf bir doğrulama kültürünü tek başına telafi edemez.</w:t>
      </w:r>
    </w:p>
    <w:p w14:paraId="2C547574" w14:textId="77777777" w:rsidR="004E399A" w:rsidRDefault="00000000">
      <w:pPr>
        <w:spacing w:before="240" w:after="100"/>
      </w:pPr>
      <w:r>
        <w:rPr>
          <w:b/>
          <w:sz w:val="28"/>
          <w:szCs w:val="28"/>
        </w:rPr>
        <w:t>17. Öneriler ve Bilimsel Yol Haritası</w:t>
      </w:r>
    </w:p>
    <w:p w14:paraId="3F2AB7E3" w14:textId="77777777" w:rsidR="004E399A" w:rsidRDefault="00000000">
      <w:pPr>
        <w:spacing w:after="140"/>
        <w:jc w:val="both"/>
      </w:pPr>
      <w:r>
        <w:t>Bilimsel eleştiri yalnızca sorunları göstermekle kalmamalı, çözümleri de tartışmalıdır. Türkiye, güçlü ilaç sanayisi, klinik araştırma deneyimi, üniversiteleri ve nitelikli insan gücüyle bölgesinin en güçlü ülkelerinden biridir. Sorun kapasite eksikliği değil, bu kapasitenin bağımsız doğrulama ve şeffaflık lehine yeterince kullanılmamasıdır. Aşağıdaki alanlar önceliklidir:</w:t>
      </w:r>
    </w:p>
    <w:p w14:paraId="64DD43A6" w14:textId="77777777" w:rsidR="004E399A" w:rsidRDefault="00000000">
      <w:pPr>
        <w:spacing w:after="60"/>
        <w:ind w:left="284" w:hanging="284"/>
        <w:jc w:val="both"/>
      </w:pPr>
      <w:r>
        <w:lastRenderedPageBreak/>
        <w:t>–  Piyasa sonrası bağımsız kalite kontrolünün güçlendirilmesi: bağımsız bir resmî ilaç kontrol laboratuvarı ağının (OMCL benzeri) kurulması ve piyasa sonrası çözünme/kalite testlerinin sistematik, risk temelli hâle getirilmesi; sonuçların yayımlanması.</w:t>
      </w:r>
    </w:p>
    <w:p w14:paraId="17791C63" w14:textId="77777777" w:rsidR="004E399A" w:rsidRDefault="00000000">
      <w:pPr>
        <w:spacing w:after="60"/>
        <w:ind w:left="284" w:hanging="284"/>
        <w:jc w:val="both"/>
      </w:pPr>
      <w:r>
        <w:t>–  Şeffaflığın düzenleyici bilimin ayrılmaz parçası hâline getirilmesi: her ruhsat için EMA'nın EPAR'ına eşdeğer, kamuya açık bir bilimsel değerlendirme özetinin yayımlanması.</w:t>
      </w:r>
    </w:p>
    <w:p w14:paraId="1C42B6B8" w14:textId="77777777" w:rsidR="004E399A" w:rsidRDefault="00000000">
      <w:pPr>
        <w:spacing w:after="60"/>
        <w:ind w:left="284" w:hanging="284"/>
        <w:jc w:val="both"/>
      </w:pPr>
      <w:r>
        <w:t>–  Ruhsat değerlendirici kadrosunun ve yıllık iş yükünün (yeni ruhsat + varyasyon) şeffaf biçimde raporlanması.</w:t>
      </w:r>
    </w:p>
    <w:p w14:paraId="46685F86" w14:textId="77777777" w:rsidR="004E399A" w:rsidRDefault="00000000">
      <w:pPr>
        <w:spacing w:after="60"/>
        <w:ind w:left="284" w:hanging="284"/>
        <w:jc w:val="both"/>
      </w:pPr>
      <w:r>
        <w:t>–  Veri bütünlüğünün en az GMP kadar önemli bir denetim alanı hâline getirilmesi; ham veri auditlerinin ve habersiz denetimlerin artırılması.</w:t>
      </w:r>
    </w:p>
    <w:p w14:paraId="2D2577BD" w14:textId="77777777" w:rsidR="004E399A" w:rsidRDefault="00000000">
      <w:pPr>
        <w:spacing w:after="60"/>
        <w:ind w:left="284" w:hanging="284"/>
        <w:jc w:val="both"/>
      </w:pPr>
      <w:r>
        <w:t>–  BCS ve biyomuafiyet uygulamalarının bilimsel gerekçe ve karar kriterleriyle birlikte daha şeffaf hâle getirilmesi.</w:t>
      </w:r>
    </w:p>
    <w:p w14:paraId="116F6242" w14:textId="77777777" w:rsidR="004E399A" w:rsidRDefault="00000000">
      <w:pPr>
        <w:spacing w:after="60"/>
        <w:ind w:left="284" w:hanging="284"/>
        <w:jc w:val="both"/>
      </w:pPr>
      <w:r>
        <w:t>–  Yurt dışı üretim ve biyoeşdeğerlik merkezlerinin düzenli uluslararası akreditasyon ve veri bütünlüğü denetimlerinden geçirilmesi; FDA/EMA tarafından geçersiz ilan edilen merkez ve çalışmaların sistematik izlenmesi ve buna dayanan ruhsatların yeniden değerlendirilmesi.</w:t>
      </w:r>
    </w:p>
    <w:p w14:paraId="79193439" w14:textId="77777777" w:rsidR="004E399A" w:rsidRDefault="00000000">
      <w:pPr>
        <w:spacing w:after="60"/>
        <w:ind w:left="284" w:hanging="284"/>
        <w:jc w:val="both"/>
      </w:pPr>
      <w:r>
        <w:t>–  Üniversitelerin ve bağımsız akademik grupların düzenleyici süreçlere ve değerlendirmeye daha fazla dâhil edilmesi.</w:t>
      </w:r>
    </w:p>
    <w:p w14:paraId="56F55C07" w14:textId="77777777" w:rsidR="004E399A" w:rsidRDefault="00000000">
      <w:pPr>
        <w:spacing w:after="60"/>
        <w:ind w:left="284" w:hanging="284"/>
        <w:jc w:val="both"/>
      </w:pPr>
      <w:r>
        <w:t>–  Yapay zekâ destekli kalite izleme sistemlerinin ve sürekli üretim teknolojilerinin geliştirilmesi.</w:t>
      </w:r>
    </w:p>
    <w:p w14:paraId="1DD852FC" w14:textId="77777777" w:rsidR="004E399A" w:rsidRDefault="00000000">
      <w:pPr>
        <w:spacing w:after="140"/>
        <w:jc w:val="both"/>
      </w:pPr>
      <w:r>
        <w:rPr>
          <w:b/>
        </w:rPr>
        <w:t xml:space="preserve">Bu öneriler mevcut sistemi karalamak için değil, güçlü bir altyapıyı bilimsel olgunluğa taşımak içindir. </w:t>
      </w:r>
      <w:r>
        <w:t>Eleştiriyi bir tehdit değil, gelişimin motoru olarak görmek çağdaş düzenleyici bilimin ön koşuludur.</w:t>
      </w:r>
    </w:p>
    <w:p w14:paraId="0EF44A3E" w14:textId="77777777" w:rsidR="00374B86" w:rsidRPr="00754EC9" w:rsidRDefault="00374B86" w:rsidP="00754EC9">
      <w:pPr>
        <w:spacing w:before="100" w:beforeAutospacing="1" w:after="100" w:afterAutospacing="1" w:line="240" w:lineRule="auto"/>
        <w:jc w:val="both"/>
        <w:outlineLvl w:val="0"/>
        <w:rPr>
          <w:rFonts w:cs="Times New Roman"/>
          <w:b/>
          <w:bCs/>
          <w:noProof/>
          <w:kern w:val="36"/>
          <w:sz w:val="48"/>
          <w:szCs w:val="48"/>
          <w14:ligatures w14:val="none"/>
        </w:rPr>
      </w:pPr>
      <w:r>
        <w:rPr>
          <w:rFonts w:cs="Times New Roman"/>
          <w:b/>
          <w:bCs/>
          <w:noProof/>
          <w:kern w:val="36"/>
          <w:sz w:val="32"/>
          <w:szCs w:val="48"/>
          <w14:ligatures w14:val="none"/>
        </w:rPr>
        <w:t>18. Kalite Güvencesinde Sessiz Tehlike: Aynı İlaç, Farklı Fabrika, Farklı Klinik Sonuç</w:t>
      </w:r>
    </w:p>
    <w:p w14:paraId="4CD0E4F2"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İlaç düzenleme biliminde uzun yıllar göz ardı edilen konulardan biri, aynı formülasyona sahip bir ilacın farklı üretim tesislerinde üretilmesi durumunda gerçekten aynı biyolojik davranışı gösterip göstermediğidir. Mevzuat çoğu zaman "aynı formülasyon" kavramı üzerine kuruludur. Oysa farmasötik teknoloji açısından aynı formülasyonun aynı biyoyararlanım anlamına gelmediği onlarca yıldır bilinmektedir.</w:t>
      </w:r>
    </w:p>
    <w:p w14:paraId="04EBE924"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Tablet üretiminde yalnızca formül değil, granülasyon yöntemi, partikül büyüklüğü dağılımı, sıkıştırma basıncı, kurutma sıcaklığı, yardımcı madde kaynağı, film kaplama kalınlığı ve hatta üretim hattındaki ekipman ve peersonel farklılıkları bile çözünme hızını değiştirebilmektedir.</w:t>
      </w:r>
    </w:p>
    <w:p w14:paraId="695BB9A8"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Bu nedenle aynı ticari isim altında farklı ülkelerde üretilen preparatların biyoeşdeğerliğinin otomatik olarak kabul edilmesi bilimsel açıdan her zaman güvenli değildir. Modern düzenleyici sistemlerde bu nedenle "manufacturing variation" yalnızca teknik bir değişiklik olarak değerlendirilmez; klinik sonuçları olabilecek farmasötik bir değişiklik olarak ele alınır.</w:t>
      </w:r>
    </w:p>
    <w:p w14:paraId="7EEE48FB" w14:textId="77777777" w:rsidR="00374B86" w:rsidRPr="00754EC9" w:rsidRDefault="00374B86" w:rsidP="00E952B8">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GSK, Merck, Pfizer, Novartis ve diğer büyük uluslararası firmaların zaman zaman üretim tesisi değişikliklerinden sonra yeni çözünme çalışmaları, karşılaştırmalı kalite çalışmaları ve bazı </w:t>
      </w:r>
      <w:r>
        <w:rPr>
          <w:rFonts w:cs="Times New Roman"/>
          <w:noProof/>
          <w:kern w:val="0"/>
          <w14:ligatures w14:val="none"/>
        </w:rPr>
        <w:lastRenderedPageBreak/>
        <w:t xml:space="preserve">durumlarda yeniden biyoeşdeğerlik çalışmaları yapmak zorunda kalmaları bunun en açık göstergesidir. Bu durum son derece önemli bir gerçeği ortaya koymaktadır. </w:t>
      </w:r>
      <w:r>
        <w:rPr>
          <w:rFonts w:cs="Times New Roman"/>
          <w:bCs/>
          <w:noProof/>
          <w:kern w:val="0"/>
          <w14:ligatures w14:val="none"/>
        </w:rPr>
        <w:t xml:space="preserve">Eğer dünyanın en büyük ilaç şirketleri üretim değişikliklerinden sonra yeniden biyoeşdeğerlik doğrulaması yapıyorsa, aynı bilimsel ilke bütün üreticiler için geçerli olmalıdır. </w:t>
      </w:r>
      <w:r>
        <w:rPr>
          <w:rFonts w:cs="Times New Roman"/>
          <w:noProof/>
          <w:kern w:val="0"/>
          <w14:ligatures w14:val="none"/>
        </w:rPr>
        <w:t>Bilim firma büyüklüğüne göre değişmez. Farmakokinetik milliyet tanımaz. Tablet fiziği şirket logosuna göre davranmaz. İlacın insan vücudundaki davranışını belirleyen şey pazarlama gücü değil, farmasötik bilimdir.</w:t>
      </w:r>
    </w:p>
    <w:p w14:paraId="1672B50E" w14:textId="77777777" w:rsidR="00374B86" w:rsidRPr="00754EC9" w:rsidRDefault="00374B86" w:rsidP="00754EC9">
      <w:pPr>
        <w:spacing w:before="100" w:beforeAutospacing="1" w:after="100" w:afterAutospacing="1" w:line="240" w:lineRule="auto"/>
        <w:jc w:val="both"/>
        <w:outlineLvl w:val="0"/>
        <w:rPr>
          <w:rFonts w:cs="Times New Roman"/>
          <w:b/>
          <w:bCs/>
          <w:noProof/>
          <w:kern w:val="36"/>
          <w:sz w:val="48"/>
          <w:szCs w:val="48"/>
          <w14:ligatures w14:val="none"/>
        </w:rPr>
      </w:pPr>
      <w:r>
        <w:rPr>
          <w:rFonts w:cs="Times New Roman"/>
          <w:b/>
          <w:bCs/>
          <w:noProof/>
          <w:kern w:val="36"/>
          <w:sz w:val="32"/>
          <w:szCs w:val="48"/>
          <w14:ligatures w14:val="none"/>
        </w:rPr>
        <w:t>19. Referans Ürün Kavramı Yeniden Tartışılmalıdır</w:t>
      </w:r>
    </w:p>
    <w:p w14:paraId="499894E8"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Jenerik ilaç sisteminin temel dayanağı referans üründür. Jenerik preparat, referans ilaca biyoeşdeğer olduğunu göstererek ruhsat almaktadır. Bu sistem küçük moleküllü ilaçlar için büyük ölçüde başarılı olmuştur. Ancak burada yeterince tartışılmayan önemli bir problem bulunmaktadır. </w:t>
      </w:r>
      <w:r>
        <w:rPr>
          <w:rFonts w:cs="Times New Roman"/>
          <w:bCs/>
          <w:noProof/>
          <w:kern w:val="0"/>
          <w14:ligatures w14:val="none"/>
        </w:rPr>
        <w:t xml:space="preserve">Referans ürün gerçekten yaşam döngüsü boyunca değişmeden kalıyor mu? </w:t>
      </w:r>
      <w:r>
        <w:rPr>
          <w:rFonts w:cs="Times New Roman"/>
          <w:noProof/>
          <w:kern w:val="0"/>
          <w14:ligatures w14:val="none"/>
        </w:rPr>
        <w:t>Bir referans preparat yıllar içerisinde;</w:t>
      </w:r>
    </w:p>
    <w:p w14:paraId="7D95524F" w14:textId="77777777" w:rsidR="00374B86" w:rsidRPr="00754EC9" w:rsidRDefault="00374B86" w:rsidP="00754EC9">
      <w:pPr>
        <w:numPr>
          <w:ilvl w:val="0"/>
          <w:numId w:val="11"/>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üretim tesisini değiştirebilir,</w:t>
      </w:r>
    </w:p>
    <w:p w14:paraId="64838C38" w14:textId="77777777" w:rsidR="00374B86" w:rsidRPr="00754EC9" w:rsidRDefault="00374B86" w:rsidP="00754EC9">
      <w:pPr>
        <w:numPr>
          <w:ilvl w:val="0"/>
          <w:numId w:val="11"/>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yardımcı maddelerini değiştirebilir,</w:t>
      </w:r>
    </w:p>
    <w:p w14:paraId="25A7335C" w14:textId="77777777" w:rsidR="00374B86" w:rsidRPr="00754EC9" w:rsidRDefault="00374B86" w:rsidP="00754EC9">
      <w:pPr>
        <w:numPr>
          <w:ilvl w:val="0"/>
          <w:numId w:val="11"/>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granülasyon yöntemini değiştirebilir,</w:t>
      </w:r>
    </w:p>
    <w:p w14:paraId="1A6A234C" w14:textId="77777777" w:rsidR="00374B86" w:rsidRPr="00754EC9" w:rsidRDefault="00374B86" w:rsidP="00754EC9">
      <w:pPr>
        <w:numPr>
          <w:ilvl w:val="0"/>
          <w:numId w:val="11"/>
        </w:num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etkin madde kaynağını değiştirebilir.</w:t>
      </w:r>
    </w:p>
    <w:p w14:paraId="74D8CA09"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Bütün bunlar farmasötik davranışı etkileyebilir.</w:t>
      </w:r>
    </w:p>
    <w:p w14:paraId="3BCBBAA6" w14:textId="77777777" w:rsidR="00374B86" w:rsidRPr="00754EC9" w:rsidRDefault="00374B86" w:rsidP="00E952B8">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Buna rağmen jenerik ürünler çoğu zaman ilk referans ürün kavramı üzerinden değerlendirilmeye devam etmektedir. Dolayısıyla gelecekte düzenleyici bilimin yalnızca jenerikleri değil, referans ürünleri de yaşam döngüsü boyunca daha yakından izlemesi gerekecektir. Bu yaklaşım jenerik karşıtlığı değildir. Bu yaklaşım bilimsel tutarlılığın doğal sonucudur.</w:t>
      </w:r>
    </w:p>
    <w:p w14:paraId="11C4440E" w14:textId="77777777" w:rsidR="00374B86" w:rsidRPr="00754EC9" w:rsidRDefault="00374B86" w:rsidP="00754EC9">
      <w:pPr>
        <w:spacing w:before="100" w:beforeAutospacing="1" w:after="100" w:afterAutospacing="1" w:line="240" w:lineRule="auto"/>
        <w:jc w:val="both"/>
        <w:outlineLvl w:val="0"/>
        <w:rPr>
          <w:rFonts w:cs="Times New Roman"/>
          <w:b/>
          <w:bCs/>
          <w:noProof/>
          <w:kern w:val="36"/>
          <w:sz w:val="48"/>
          <w:szCs w:val="48"/>
          <w14:ligatures w14:val="none"/>
        </w:rPr>
      </w:pPr>
      <w:r>
        <w:rPr>
          <w:rFonts w:cs="Times New Roman"/>
          <w:b/>
          <w:bCs/>
          <w:noProof/>
          <w:kern w:val="36"/>
          <w:sz w:val="32"/>
          <w:szCs w:val="48"/>
          <w14:ligatures w14:val="none"/>
        </w:rPr>
        <w:t>20. Kalite Ekonomisinin Görünmeyen Yüzü</w:t>
      </w:r>
    </w:p>
    <w:p w14:paraId="31738715" w14:textId="77777777" w:rsidR="00374B86" w:rsidRPr="00754EC9" w:rsidRDefault="00374B86"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Kalite yalnızca bilimsel bir kavram değildir. Kalite aynı zamanda ekonomik bir tercihtir. Bir üretici daha kaliteli yardımcı madde kullanabilir. Daha pahalı granülasyon teknolojisi tercih edebilir. Daha sık kalite kontrol analizi yapabilir. Daha fazla seri reddedebilir. Bütün bunlar maliyeti artıracaktır. Dolayısıyla kalite her zaman ekonomik baskılar altında şekillenen bir süreçtir. Referans fiyatlandırma sistemleri, agresif fiyat indirimleri ve yoğun rekabet özellikle jenerik ilaç sektöründe kâr marjlarını önemli ölçüde azaltmaktadır. Burada dikkat edilmesi gereken nokta son derece hassastır. </w:t>
      </w:r>
      <w:r>
        <w:rPr>
          <w:rFonts w:cs="Times New Roman"/>
          <w:bCs/>
          <w:noProof/>
          <w:kern w:val="0"/>
          <w14:ligatures w14:val="none"/>
        </w:rPr>
        <w:t xml:space="preserve">Düşük fiyat kaliteyi bozmaz ama aşırı fiyat baskısı kalite sistemleri üzerinde uzun vadeli baskı oluşturabilir. </w:t>
      </w:r>
      <w:r>
        <w:rPr>
          <w:rFonts w:cs="Times New Roman"/>
          <w:noProof/>
          <w:kern w:val="0"/>
          <w14:ligatures w14:val="none"/>
        </w:rPr>
        <w:t>Bu iki kavram birbirine karıştırılmamalıdır.</w:t>
      </w:r>
    </w:p>
    <w:p w14:paraId="3811FABC" w14:textId="77777777" w:rsidR="00374B86" w:rsidRPr="00754EC9" w:rsidRDefault="00374B86" w:rsidP="00E952B8">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Bugün dünya ilaç kıtlıklarının önemli bölümünün arkasında kalite problemi değil, ekonomik sürdürülebilirlik problemi bulunmaktadır. Çok düşük fiyatla üretimi sürdürülemeyen ürünler piyasadan çekilmekte, üretici sayısı azalmakta ve sonunda tedarik zinciri kırılmaktadır. Dolayısıyla kalite tartışması yapılırken yalnızca laboratuvar analizlerine değil, sağlık ekonomisine de bakmak gerekmektedir.</w:t>
      </w:r>
    </w:p>
    <w:p w14:paraId="24CCCA6D" w14:textId="77777777" w:rsidR="00374B86" w:rsidRPr="00754EC9" w:rsidRDefault="00374B86" w:rsidP="00754EC9">
      <w:pPr>
        <w:spacing w:before="100" w:beforeAutospacing="1" w:after="100" w:afterAutospacing="1" w:line="240" w:lineRule="auto"/>
        <w:jc w:val="both"/>
        <w:outlineLvl w:val="0"/>
        <w:rPr>
          <w:rFonts w:cs="Times New Roman"/>
          <w:b/>
          <w:bCs/>
          <w:noProof/>
          <w:kern w:val="36"/>
          <w:sz w:val="48"/>
          <w:szCs w:val="48"/>
          <w14:ligatures w14:val="none"/>
        </w:rPr>
      </w:pPr>
      <w:r>
        <w:rPr>
          <w:rFonts w:cs="Times New Roman"/>
          <w:b/>
          <w:bCs/>
          <w:noProof/>
          <w:kern w:val="36"/>
          <w:sz w:val="32"/>
          <w:szCs w:val="48"/>
          <w14:ligatures w14:val="none"/>
        </w:rPr>
        <w:t xml:space="preserve">21. İlaç Ruhsatlandırmasında "Güven" Yerine "Doğrulama" </w:t>
      </w:r>
    </w:p>
    <w:p w14:paraId="5F7E800D" w14:textId="77777777" w:rsidR="006B10B9" w:rsidRDefault="006B10B9" w:rsidP="006B10B9">
      <w:pPr>
        <w:spacing w:after="140"/>
        <w:jc w:val="both"/>
      </w:pPr>
      <w:r>
        <w:lastRenderedPageBreak/>
        <w:t>Soğuk Savaş yıllarından kalan, aslında bir Rus atasözü olan ve Ronald Reagan'ın diline doladığı bir ilke, bugün modern ilaç düzenleme biliminin özetidir: "Trust, but verify" — Güven, ama doğrula.</w:t>
      </w:r>
    </w:p>
    <w:p w14:paraId="1303655E" w14:textId="77777777" w:rsidR="006B10B9" w:rsidRDefault="006B10B9" w:rsidP="006B10B9">
      <w:pPr>
        <w:spacing w:after="140"/>
        <w:jc w:val="both"/>
      </w:pPr>
      <w:r>
        <w:t>Modern düzenleyici bilim tam da bu ikinci yarının üzerine kuruludur. Üreticiye güvenilir, ama üretici doğrulanır. Biyoeşdeğerlik çalışmasına güvenilir, ama çalışma denetlenir. GMP sertifikasına güvenilir, ama tesis yeniden denetlenir. Analitik sonuçlara güvenilir, ama ham veriler bağımsız olarak incelenir.</w:t>
      </w:r>
    </w:p>
    <w:p w14:paraId="0454772E" w14:textId="77777777" w:rsidR="006B10B9" w:rsidRDefault="006B10B9" w:rsidP="006B10B9">
      <w:pPr>
        <w:spacing w:after="140"/>
        <w:jc w:val="both"/>
      </w:pPr>
      <w:r>
        <w:rPr>
          <w:b/>
        </w:rPr>
        <w:t xml:space="preserve">Kritik olan, ikinci cümlelerdir. </w:t>
      </w:r>
      <w:r>
        <w:t>"Güven" herkesin yaptığı şeydir; bir sistemi bilimsel kılan, "doğrula" kısmıdır. Bir düzenleyici otoritenin gerçek niteliği, ne kadar güvendiğiyle değil, ne kadar doğruladığıyla ölçülür.</w:t>
      </w:r>
    </w:p>
    <w:p w14:paraId="376CE3BF" w14:textId="77777777" w:rsidR="006B10B9" w:rsidRDefault="006B10B9" w:rsidP="006B10B9">
      <w:pPr>
        <w:spacing w:after="140"/>
        <w:jc w:val="both"/>
      </w:pPr>
      <w:r>
        <w:t>Buna karşılık hâlâ yaygın olan bir anlayış vardır: "Ruhsat verildi, sorun çözülmüştür." Bu yaklaşım çağdaş düzenleyici bilimin gerisinde kalmıştır. Çünkü ruhsat bir sonuç değil, bilimsel izlemenin başlangıcıdır. Ruhsatı bir bitiş çizgisi olarak gören sistem, doğrulama kültürünü daha en baştan terk etmiş demektir.</w:t>
      </w:r>
    </w:p>
    <w:p w14:paraId="6769ED87" w14:textId="77777777" w:rsidR="006B10B9" w:rsidRDefault="006B10B9" w:rsidP="006B10B9">
      <w:pPr>
        <w:spacing w:after="140"/>
        <w:jc w:val="both"/>
      </w:pPr>
      <w:r>
        <w:rPr>
          <w:b/>
        </w:rPr>
        <w:t>Asıl soru şudur: Bir sistem gerçekten doğruluyor mu, yoksa yalnızca güveniyor ve buna "değerlendirme" mi diyor?</w:t>
      </w:r>
    </w:p>
    <w:p w14:paraId="65CA3765" w14:textId="77777777" w:rsidR="006B10B9" w:rsidRDefault="006B10B9" w:rsidP="006B10B9">
      <w:pPr>
        <w:spacing w:before="240" w:after="100"/>
      </w:pPr>
      <w:r>
        <w:rPr>
          <w:b/>
          <w:sz w:val="28"/>
          <w:szCs w:val="28"/>
        </w:rPr>
        <w:t>22. CTD Dosyası ve TİTCK Ruhsatlandırma Sistemi: Bilimsel Değerlendirme mi, Beyana Güven mi?</w:t>
      </w:r>
    </w:p>
    <w:p w14:paraId="19BC185A" w14:textId="77777777" w:rsidR="006B10B9" w:rsidRDefault="006B10B9" w:rsidP="006B10B9">
      <w:pPr>
        <w:spacing w:after="140"/>
        <w:jc w:val="both"/>
      </w:pPr>
      <w:r>
        <w:t>Türkiye'de beşerî tıbbi ürünlerin ruhsatlandırılması, ICH'nin geliştirdiği Ortak Teknik Doküman (CTD) formatına göre yürütülür. CTD, başvuruların standart bir biçimde hazırlanmasını sağlayan ortak bir dildir; kâğıt üzerinde Türkiye bu dili konuşmaktadır. Ancak bir formatı benimsemek ile o formatın gerektirdiği değerlendirmeyi fiilen yapabilmek aynı şey değildir — ve asıl mesele bu ikisi arasındaki farktır.</w:t>
      </w:r>
    </w:p>
    <w:p w14:paraId="5FFEF56F" w14:textId="77777777" w:rsidR="006B10B9" w:rsidRDefault="006B10B9" w:rsidP="006B10B9">
      <w:pPr>
        <w:spacing w:after="140"/>
        <w:jc w:val="both"/>
      </w:pPr>
      <w:r>
        <w:t>CTD beş modülden oluşur: idari belgeler (Modül 1), uzman özetleri (Modül 2), kalite/CMC (Modül 3), klinik-dışı çalışmalar (Modül 4) ve klinik çalışmalar ile biyoeşdeğerlik (Modül 5). Jenerik ruhsatlandırmasında kararın bilimsel ağırlığı büyük ölçüde Modül 3 ve Modül 5'te toplanır. Özellikle Modül 3 dosyanın en kritik bölümüdür: etkin madde özellikleri, üretim prosesi ve validasyonu, analitik yöntem validasyonları, safsızlık profilleri, spesifikasyonlar ve stabilite verileri buradadır. Bir biyoeşdeğerlik çalışması başarılı olsa bile, Modül 3'teki kalite sistemi zayıfsa ürünün uzun dönem kalitesi güvence altında değildir. Yani ruhsatın bilimsel meşruiyeti, sonuç tablolarına bakmaya değil, Modül 3 ve Modül 5'in ne kadar derinlemesine incelendiğine bağlıdır.</w:t>
      </w:r>
    </w:p>
    <w:p w14:paraId="531A7AC4" w14:textId="77777777" w:rsidR="006B10B9" w:rsidRDefault="006B10B9" w:rsidP="006B10B9">
      <w:pPr>
        <w:spacing w:after="140"/>
        <w:jc w:val="both"/>
      </w:pPr>
      <w:r>
        <w:rPr>
          <w:b/>
        </w:rPr>
        <w:t xml:space="preserve">Aritmetiğin dayattığı soru. </w:t>
      </w:r>
      <w:r>
        <w:t xml:space="preserve">Türkiye'de her yıl yaklaşık 450–550 yeni ürüne ruhsat verilmektedir. Ama bu, buzdağının yalnızca görünen kısmıdır: buna binlerce varyasyon, ruhsat yenilemesi ve üretim/kalite değişikliği eklendiğinde, fiilen değerlendirilmesi gereken dosya sayısı bu rakamın </w:t>
      </w:r>
      <w:r>
        <w:lastRenderedPageBreak/>
        <w:t>kat kat üzerine çıkar. En basit jenerik tabletin CTD dosyası dahi çoğu zaman birkaç bin sayfadır; steril, modifiye salımlı ve biyoteknolojik ürünlerde bu hacim on binlerce sayfaya ulaşır.</w:t>
      </w:r>
    </w:p>
    <w:p w14:paraId="39E48A12" w14:textId="77777777" w:rsidR="006B10B9" w:rsidRDefault="006B10B9" w:rsidP="006B10B9">
      <w:pPr>
        <w:spacing w:after="140"/>
        <w:jc w:val="both"/>
      </w:pPr>
      <w:r>
        <w:t>Elbette hiçbir düzenleyici otorite bu dosyaları satır satır okumaz; CTD zaten risk temelli, kolektif bir değerlendirme için geliştirilmiştir. Dosya modüllere ayrılıp ilgili uzmanlık birimlerince paralel incelenir, alt raporlar yazılır, üst komisyon bu raporlar üzerinden karar verir. Bu, sistemin kâğıt üzerindeki işleyişidir ve makuldür. Ama tam da bu tanım asıl soruyu değiştirir: soru "komisyon binlerce sayfayı nasıl okuyor" değildir — çünkü komisyon dosyayı değil raporu okur.</w:t>
      </w:r>
    </w:p>
    <w:p w14:paraId="0F91985A" w14:textId="77777777" w:rsidR="006B10B9" w:rsidRDefault="006B10B9" w:rsidP="006B10B9">
      <w:pPr>
        <w:spacing w:after="140"/>
        <w:jc w:val="both"/>
      </w:pPr>
      <w:r>
        <w:rPr>
          <w:b/>
        </w:rPr>
        <w:t xml:space="preserve">Doğru soru şudur: </w:t>
      </w:r>
      <w:r>
        <w:t>bu raporları üreten değerlendirici kapasitesi bu iş yükünü nitelikli biçimde karşılamaya yetiyor mu, bu raporlar gerçekten üretiliyor mu, ve üretildiyse nasıl doğrulanıyor? Burada sistem sessizleşir. TİTCK'nın ruhsat birimlerinde fiilen dosya değerlendiren tam zamanlı uzman sayısı, uzmanlık dağılımları ve kişi başına düşen yıllık dosya-sayfa yükü kamuya açıklanmamaktadır. (Bilimsel danışma komisyonlarının yaklaşık üç yüz kişilik "üye havuzu" ile karıştırılmamalıdır; danışma komisyonu üyeliği ile dosyayı fiilen okuyan tam zamanlı değerlendirici kadrosu farklı şeylerdir.) Bu yükü taşıyan kadronun büyüklüğü ne olursa olsun, her uzmanın yılda onlarca yeni dosyayı ve bunun katları kadar varyasyonu Modül 3 ve Modül 5 derinliğinde inceleyip inceleyemeyeceği meşru bir sorudur — ve cevabı kurumun elindedir, kamuoyunun değil.</w:t>
      </w:r>
    </w:p>
    <w:p w14:paraId="5F8E76EE" w14:textId="77777777" w:rsidR="006B10B9" w:rsidRDefault="006B10B9" w:rsidP="006B10B9">
      <w:pPr>
        <w:spacing w:after="140"/>
        <w:jc w:val="both"/>
      </w:pPr>
      <w:r>
        <w:t>Aynı belirsizlik komisyon çalışmasının kendisi için de geçerlidir: komisyonlar yılda kaç kez toplanır, bir oturumda kaç dosya görüşülür, dosya başına ne kadar süre ayrılır, değerlendirme raporları komisyona ne kadar önceden ulaşır? Bu soruların hiçbirinin cevabı kamuya açık değildir. Amaç kimsenin bilgisini ya da deneyimini sorgulamak değildir; sorgulanan, çalışma modelinin nitelikli bir bilimsel değerlendirmeye fiziksel olarak imkân verip vermediği ve bunun dışarıdan doğrulanıp doğrulanamadığıdır.</w:t>
      </w:r>
    </w:p>
    <w:p w14:paraId="7775782D" w14:textId="77777777" w:rsidR="006B10B9" w:rsidRDefault="006B10B9" w:rsidP="006B10B9">
      <w:pPr>
        <w:spacing w:after="140"/>
        <w:jc w:val="both"/>
      </w:pPr>
      <w:r>
        <w:rPr>
          <w:b/>
        </w:rPr>
        <w:t xml:space="preserve">Asıl kırılma: değerlendirmek, doğrulamak değildir. </w:t>
      </w:r>
      <w:r>
        <w:t>Bir CTD dosyasını değerlendirmek, o dosyada sunulan bilgileri bağımsız olarak doğrulamak anlamına gelmez. TİTCK başvuru dosyasını bilimsel açıdan inceler; ancak kurumun, dosyada beyan edilen kalite verilerini, analitik yöntemleri ve biyoeşdeğerlik sonuçlarını kendi bünyesinde yeniden üretebileceği kapsamlı bir referans laboratuvar altyapısı yoktur. Dolayısıyla değerlendirme, esas olarak başvuru sahibinin beyan ettiği verinin tutarlılığını incelemek üzerine kuruludur — o verinin doğruluğunu bağımsız olarak sınamak üzerine değil.</w:t>
      </w:r>
    </w:p>
    <w:p w14:paraId="70904FE1" w14:textId="77777777" w:rsidR="006B10B9" w:rsidRDefault="006B10B9" w:rsidP="006B10B9">
      <w:pPr>
        <w:spacing w:after="140"/>
        <w:jc w:val="both"/>
      </w:pPr>
      <w:r>
        <w:t>Muhtemel cevap bellidir: "Tesisleri GMP açısından denetliyoruz, dosyaları ayrıntılı inceliyoruz, gerektiğinde piyasadan numune alıp analiz ediyoruz." Bunların her biri gerçek ve gereklidir; ama tartışma burada bitmez, başlar. Bir GMP denetimi tesisin belirli bir tarihte kurallara uygun çalıştığını gösterir, her ticari serinin kalitesini garanti etmez. Dosya incelemesi, beyan edilen verinin bağımsız olarak yeniden üretildiği anlamına gelmez. Piyasa numunesi analizi ise ancak kapsamı, örnekleme mantığı, sıklığı ve sonuçlarının şeffaflığıyla anlam taşır — "analiz yapıyoruz" ifadesiyle değil.</w:t>
      </w:r>
    </w:p>
    <w:p w14:paraId="6B555C67" w14:textId="77777777" w:rsidR="006B10B9" w:rsidRDefault="006B10B9" w:rsidP="006B10B9">
      <w:pPr>
        <w:spacing w:after="140"/>
        <w:jc w:val="both"/>
      </w:pPr>
      <w:r>
        <w:lastRenderedPageBreak/>
        <w:t>Bu yüzden cevaplanması gereken sorular somuttur: Yeni ruhsat alan ürünlerin ilk ticari serilerinden sistematik olarak numune alınıyor mu? Piyasa örneklemesi hangi risk analizine göre yapılıyor? Yılda kaç yeni ürün bağımsız analiz ediliyor, kaçı spesifikasyon dışı bulundu, kaçı geri çekildi ve bu sonuçlar kamuoyuna açıklanıyor mu? FDA ve EMA ruhsat sonrası gözetimi bir kalite kontrol faaliyeti olarak değil, ruhsatlandırma sisteminin ayrılmaz parçası olarak görür ve bulgularının önemli kısmını kamuoyuyla paylaşır. Türkiye'de piyasa gözetimi yapılmakta, ancak kapsamı ve sonuçları aynı düzeyde kamuya açık olmadığından etkinliği bağımsız olarak değerlendirilememektedir.</w:t>
      </w:r>
    </w:p>
    <w:p w14:paraId="44C6CA63" w14:textId="77777777" w:rsidR="006B10B9" w:rsidRDefault="006B10B9" w:rsidP="006B10B9">
      <w:pPr>
        <w:spacing w:after="140"/>
        <w:jc w:val="both"/>
      </w:pPr>
      <w:r>
        <w:rPr>
          <w:b/>
        </w:rPr>
        <w:t xml:space="preserve">Şeffaflık bir lüks değil, doğrulamanın ta kendisidir. </w:t>
      </w:r>
      <w:r>
        <w:t>EMA her ruhsat için kamuya açık bir değerlendirme raporu (EPAR) yayımlar: hangi verinin, hangi değerlendirici tarafından, hangi gerekçeyle kabul veya reddedildiği görülebilir. Türkiye'de bu katman yoktur — ne değerlendirici kapasitesi, ne değerlendirme raporları, ne piyasa gözetimi sonuçları kamuya açıktır. Sonuç şudur: "kolektif, titiz ve bilimsel bir değerlendirme yapıldı" ifadesi, doğru olsa bile, dışarıdan doğrulanamayan bir beyan olarak kalır. Ve denetlenemeyen bir süreç, ne kadar iyi tasarlanmış olursa olsun, güvencesini kanıtlayamaz.</w:t>
      </w:r>
    </w:p>
    <w:p w14:paraId="194F1242" w14:textId="77777777" w:rsidR="006B10B9" w:rsidRDefault="006B10B9" w:rsidP="006B10B9">
      <w:pPr>
        <w:spacing w:after="140"/>
        <w:jc w:val="both"/>
      </w:pPr>
      <w:r>
        <w:rPr>
          <w:b/>
        </w:rPr>
        <w:t>En yalın soru şudur: Türkiye'nin ruhsatlandırma sistemi, üretici tarafından beyan edilen verileri bağımsız olarak doğrulayabilecek kapasiteye ve şeffaflığa sahip midir; yoksa giderek daha fazla, başvuru sahibinin beyanına duyulan güven esasına mı dayanmaktadır?</w:t>
      </w:r>
    </w:p>
    <w:p w14:paraId="097C1CBC" w14:textId="77777777" w:rsidR="006B10B9" w:rsidRDefault="006B10B9" w:rsidP="006B10B9">
      <w:pPr>
        <w:spacing w:after="140"/>
        <w:jc w:val="both"/>
      </w:pPr>
      <w:r>
        <w:t>Bir CTD dosyasının değeri binlerce sayfa içermesinden gelmez. Asıl değer, o sayfalardaki bilginin bağımsız olarak sorgulanabilmesi, doğrulanabilmesi ve gerektiğinde yeniden üretilebilmesindedir. Çünkü bilimsel güven, dosyanın hacminden değil, içindeki verinin doğrulanabilirliğinden doğar.</w:t>
      </w:r>
    </w:p>
    <w:p w14:paraId="796718F5" w14:textId="77777777" w:rsidR="006B10B9" w:rsidRDefault="006B10B9" w:rsidP="006B10B9">
      <w:pPr>
        <w:spacing w:before="240" w:after="100"/>
      </w:pPr>
      <w:r>
        <w:rPr>
          <w:b/>
          <w:sz w:val="28"/>
          <w:szCs w:val="28"/>
        </w:rPr>
        <w:t>23. Kalite Güvencesinde Akademinin Rolü: Eleştiri Bir Tehdit Değil, Güvencedir</w:t>
      </w:r>
    </w:p>
    <w:p w14:paraId="033565D8" w14:textId="77777777" w:rsidR="006B10B9" w:rsidRDefault="006B10B9" w:rsidP="006B10B9">
      <w:pPr>
        <w:spacing w:after="140"/>
        <w:jc w:val="both"/>
      </w:pPr>
      <w:r>
        <w:t>İlaç kalite sisteminin en zayıf halkalarından biri, bağımsız akademik değerlendirmenin yetersizliğidir. Ruhsatlandırma doğal olarak düzenleyici otoritenin sorumluluğundadır; ancak bilimsel eleştiri yalnızca düzenleyici kurumun kendi içinde yapılamaz. Bir kurumun kendi kararını yine kendi personeline denetletmesi, bağımsız doğrulama değildir.</w:t>
      </w:r>
    </w:p>
    <w:p w14:paraId="3290C618" w14:textId="77777777" w:rsidR="006B10B9" w:rsidRDefault="006B10B9" w:rsidP="006B10B9">
      <w:pPr>
        <w:spacing w:after="140"/>
        <w:jc w:val="both"/>
      </w:pPr>
      <w:r>
        <w:t>Üniversiteler, klinik farmakoloji merkezleri, farmasötik teknoloji ve analitik kimya laboratuvarları ve farmakovijilans araştırma ekipleri, bağımsız kalite değerlendirmesinin asıl aktörleri olmalıdır. Nitekim gelişmiş ülkelerde birçok biyoeşdeğerlik yöntemi, çözünme modeli ve farmakokinetik yaklaşım önce akademik dünyada geliştirilmiş, sonra düzenleyici rehberlere girmiştir. Bilim otoriteden değil, bağımsız sorgudan doğar.</w:t>
      </w:r>
    </w:p>
    <w:p w14:paraId="770C4A27" w14:textId="77777777" w:rsidR="006B10B9" w:rsidRDefault="006B10B9" w:rsidP="006B10B9">
      <w:pPr>
        <w:spacing w:after="140"/>
        <w:jc w:val="both"/>
      </w:pPr>
      <w:r>
        <w:rPr>
          <w:b/>
        </w:rPr>
        <w:t xml:space="preserve">Eleştiren akademisyen düzenleyici sistemin rakibi değil, en önemli kalite güvencesidir. </w:t>
      </w:r>
      <w:r>
        <w:t>Çünkü eleştirilmeyen bir düzenleyici sistem, zamanla kendi doğrularına inanmaya başlar; kendi kararını kendisi denetleyen, dışarıya kapalı bir sistem, hatalarını görmeyi de yavaş yavaş bırakır. Bilim için en büyük risk budur: yanılmadığına ikna olmuş bir otorite.</w:t>
      </w:r>
    </w:p>
    <w:p w14:paraId="2D85BD4B" w14:textId="77777777" w:rsidR="006B10B9" w:rsidRDefault="006B10B9" w:rsidP="006B10B9">
      <w:pPr>
        <w:spacing w:before="240" w:after="100"/>
      </w:pPr>
      <w:r>
        <w:rPr>
          <w:b/>
          <w:sz w:val="28"/>
          <w:szCs w:val="28"/>
        </w:rPr>
        <w:lastRenderedPageBreak/>
        <w:t>24. Farmakovijilans: Kalitenin Bittiği Yer Değil, Asıl Sınandığı Yer</w:t>
      </w:r>
    </w:p>
    <w:p w14:paraId="7EBBBB23" w14:textId="77777777" w:rsidR="006B10B9" w:rsidRDefault="006B10B9" w:rsidP="006B10B9">
      <w:pPr>
        <w:spacing w:after="140"/>
        <w:jc w:val="both"/>
      </w:pPr>
      <w:r>
        <w:t>Kalite denildiğinde çoğu zaman üretim ve biyoeşdeğerlik akla gelir. Oysa bir ilacın gerçek kalite sınavı, milyonlarca hastada kullanılmaya başladıktan sonra verilir. Klinik araştırmalarda birkaç bin hasta incelenir; ruhsattan sonra ilacı milyonlarca insan kullanır. Nadir advers etkiler, uzun dönem güvenlilik sorunları, beklenmeyen etkileşimler ve özel hasta gruplarındaki farklılıklar ancak güçlü bir farmakovijilans sistemiyle görünür hale gelir.</w:t>
      </w:r>
    </w:p>
    <w:p w14:paraId="03072634" w14:textId="77777777" w:rsidR="006B10B9" w:rsidRDefault="006B10B9" w:rsidP="006B10B9">
      <w:pPr>
        <w:spacing w:after="140"/>
        <w:jc w:val="both"/>
      </w:pPr>
      <w:r>
        <w:rPr>
          <w:b/>
        </w:rPr>
        <w:t xml:space="preserve">Bu yüzden farmakovijilans biyoeşdeğerlikten bağımsız düşünülemez. </w:t>
      </w:r>
      <w:r>
        <w:t>Kalite yalnızca tabletin doğru üretilmesi değildir; kalite, aynı zamanda ilacın gerçek yaşam performansının izlenmesidir. Ve zayıf bir farmakovijilans, ruhsat anındaki her güvencenin sessizce aşınmasına izin verir; çünkü kimse bakmıyorsa, sorun yok demek değildir — yalnızca sorun görülmüyor demektir.</w:t>
      </w:r>
    </w:p>
    <w:p w14:paraId="44514F5D" w14:textId="77777777" w:rsidR="006B10B9" w:rsidRDefault="006B10B9" w:rsidP="006B10B9">
      <w:pPr>
        <w:spacing w:before="240" w:after="100"/>
      </w:pPr>
      <w:r>
        <w:rPr>
          <w:b/>
          <w:sz w:val="28"/>
          <w:szCs w:val="28"/>
        </w:rPr>
        <w:t>25. Biyoeşdeğerlik Çalışmaları Gerçekten Kusursuz mu?</w:t>
      </w:r>
    </w:p>
    <w:p w14:paraId="7E5E7EA5" w14:textId="77777777" w:rsidR="006B10B9" w:rsidRDefault="006B10B9" w:rsidP="006B10B9">
      <w:pPr>
        <w:spacing w:after="140"/>
        <w:jc w:val="both"/>
      </w:pPr>
      <w:r>
        <w:t>Biyoeşdeğerlik yaklaşık yarım yüzyıldır jenerik ruhsatlandırmasının temelidir ve milyonlarca hastanın güvenli, düşük maliyetli tedaviye ulaşmasını sağlamıştır. Kavramın bilimsel temeli tartışma konusu değildir. Tartışmaya açık olan, çalışmaların mutlak doğruluğudur — ki bilim zaten bunun üzerine kuruludur; hiçbir yöntem eleştiriden muaf değildir.</w:t>
      </w:r>
    </w:p>
    <w:p w14:paraId="0A2D8B50" w14:textId="77777777" w:rsidR="006B10B9" w:rsidRDefault="006B10B9" w:rsidP="006B10B9">
      <w:pPr>
        <w:spacing w:after="140"/>
        <w:jc w:val="both"/>
      </w:pPr>
      <w:r>
        <w:t>Biyoeşdeğerlik çalışmaları çoğunlukla 24–36 genç, sağlıklı, sigara içmeyen, ek hastalığı olmayan ve başka ilaç almayan gönüllüde yapılır. Oysa gerçek hasta 80 yaşında, karaciğer sirozlu, böbrek yetmezlikli, on ilaç kullanan, malabsorpsiyonu olan biri olabilir. Buradan önemli bir bilimsel boşluk doğar: çalışma kusursuz yapılmış olsa bile, gerçek yaşam performansı her zaman aynı olmayabilir.</w:t>
      </w:r>
    </w:p>
    <w:p w14:paraId="104629D9" w14:textId="77777777" w:rsidR="006B10B9" w:rsidRDefault="006B10B9" w:rsidP="006B10B9">
      <w:pPr>
        <w:spacing w:after="140"/>
        <w:jc w:val="both"/>
      </w:pPr>
      <w:r>
        <w:rPr>
          <w:b/>
        </w:rPr>
        <w:t>Bu, biyoeşdeğerlik sisteminin yanlış olduğu anlamına gelmez; yalnızca sınırlarını gösterir. Biyoeşdeğerlik hiçbir zaman klinik farmakolojinin tamamı olarak görülmemelidir.</w:t>
      </w:r>
    </w:p>
    <w:p w14:paraId="6EC01CA2" w14:textId="77777777" w:rsidR="006B10B9" w:rsidRDefault="006B10B9" w:rsidP="006B10B9">
      <w:pPr>
        <w:spacing w:before="240" w:after="100"/>
      </w:pPr>
      <w:r>
        <w:rPr>
          <w:b/>
          <w:sz w:val="28"/>
          <w:szCs w:val="28"/>
        </w:rPr>
        <w:t>26. Biyoeşdeğerlik ile Klinik Eşdeğerlik Aynı Şey Değildir</w:t>
      </w:r>
    </w:p>
    <w:p w14:paraId="5B175289" w14:textId="77777777" w:rsidR="006B10B9" w:rsidRDefault="006B10B9" w:rsidP="006B10B9">
      <w:pPr>
        <w:spacing w:after="140"/>
        <w:jc w:val="both"/>
      </w:pPr>
      <w:r>
        <w:t>Literatürde sıkça birbirinin yerine kullanılan iki kavram aynı değildir. Biyoeşdeğerlik farmakokinetik parametrelerin benzerliğini gösterir; terapötik (klinik) eşdeğerlik ise aynı klinik etkinliğin, aynı güvenlilik profilinin ve aynı tedavi sonucunun elde edildiğini ifade eder. Çoğu küçük moleküllü ilaç için biyoeşdeğerlik, terapötik eşdeğerliğin güvenilir bir göstergesidir; ama bu ilişki mutlak değildir.</w:t>
      </w:r>
    </w:p>
    <w:p w14:paraId="28C629F6" w14:textId="77777777" w:rsidR="006B10B9" w:rsidRDefault="006B10B9" w:rsidP="006B10B9">
      <w:pPr>
        <w:spacing w:after="140"/>
        <w:jc w:val="both"/>
      </w:pPr>
      <w:r>
        <w:t>Dar terapötik indeksli ilaçlarda, karmaşık salım sistemlerinde, lokal etkili preparatlarda, inhalasyon, transdermal ve oküler ürünlerde ve biyolojik ilaçlarda biyoeşdeğerlik ile klinik eşdeğerlik arasındaki ilişki çok daha karmaşıktır. Bu yüzden modern düzenleyici bilim ürün-bazlı yaklaşımı benimser: her ilaç aynı değerlendirme kalıbıyla ruhsatlandırılamaz. Bunu tek bir "eşdeğerdir" mührüne indirgemek, kavramın kendisini sulandırır.</w:t>
      </w:r>
    </w:p>
    <w:p w14:paraId="55449430" w14:textId="77777777" w:rsidR="006B10B9" w:rsidRDefault="006B10B9" w:rsidP="006B10B9">
      <w:pPr>
        <w:spacing w:before="240" w:after="100"/>
      </w:pPr>
      <w:r>
        <w:rPr>
          <w:b/>
          <w:sz w:val="28"/>
          <w:szCs w:val="28"/>
        </w:rPr>
        <w:lastRenderedPageBreak/>
        <w:t>27. Biyoeşdeğerlik Merkezlerinin Akreditasyonu Yeterli mi? — Belgelenmiş Skandalların Dersi</w:t>
      </w:r>
    </w:p>
    <w:p w14:paraId="42F5DCC4" w14:textId="77777777" w:rsidR="006B10B9" w:rsidRDefault="006B10B9" w:rsidP="006B10B9">
      <w:pPr>
        <w:spacing w:after="140"/>
        <w:jc w:val="both"/>
      </w:pPr>
      <w:r>
        <w:t>Bir biyoeşdeğerlik çalışmasının güvenilirliği yalnızca istatistiğe değil, çalışmayı yürüten merkezin dürüstlüğüne de bağlıdır. Son yirmi yılın belgelenmiş skandalları bunun en açık kanıtıdır — ve hepsinin ortak dersi aynıdır: sahtecilik hiçbir zaman dosya incelemesiyle değil, ancak yerinde denetimle yakalanmıştır.</w:t>
      </w:r>
    </w:p>
    <w:p w14:paraId="6D23112F" w14:textId="77777777" w:rsidR="006B10B9" w:rsidRDefault="006B10B9" w:rsidP="006B10B9">
      <w:pPr>
        <w:spacing w:after="140"/>
        <w:jc w:val="both"/>
      </w:pPr>
      <w:r>
        <w:rPr>
          <w:b/>
        </w:rPr>
        <w:t xml:space="preserve">GVK Biosciences (Haydarabad). </w:t>
      </w:r>
      <w:r>
        <w:t>Fransız otoritesinin denetimi, jenerik çalışmalarında EKG verilerinin en az beş yıl boyunca sistematik olarak manipüle edildiğini ortaya çıkardı. EMA bu merkezde çalışılan binden fazla ürünü inceledi ve yaklaşık 700 ürünün ruhsatının askıya alınmasını önerdi; karar 2015'te tüm AB'de bağlayıcı hale getirildi.</w:t>
      </w:r>
    </w:p>
    <w:p w14:paraId="75572AF0" w14:textId="77777777" w:rsidR="006B10B9" w:rsidRDefault="006B10B9" w:rsidP="006B10B9">
      <w:pPr>
        <w:spacing w:after="140"/>
        <w:jc w:val="both"/>
      </w:pPr>
      <w:r>
        <w:rPr>
          <w:b/>
        </w:rPr>
        <w:t xml:space="preserve">Semler Research (Bangalore). </w:t>
      </w:r>
      <w:r>
        <w:t>FDA denetimi deneklerin klinik örneklerinin değiştirildiğini saptadı; DSÖ doğruladı ve Notice of Concern yayımladı; EMA çalışmaların AB ruhsatında kullanılamayacağına karar verdi. Etkilenen ürünler Sandoz, Teva, Mylan, Sanofi gibi büyük firmalara aitti — yani "büyük firma" olmak güvence değildir.</w:t>
      </w:r>
    </w:p>
    <w:p w14:paraId="2C172490" w14:textId="77777777" w:rsidR="006B10B9" w:rsidRDefault="006B10B9" w:rsidP="006B10B9">
      <w:pPr>
        <w:spacing w:after="140"/>
        <w:jc w:val="both"/>
      </w:pPr>
      <w:r>
        <w:rPr>
          <w:b/>
        </w:rPr>
        <w:t xml:space="preserve">Micro Therapeutic Research Labs ve diğerleri. </w:t>
      </w:r>
      <w:r>
        <w:t>Avrupa otoritelerinin GCP denetimleri sonucu 2012–2016 arası verilerin güvenilmez olduğu ilan edildi; Synchron Research gibi başka Hint CRO'larına dayanan onlarca ürün de EMA tarafından askıya alındı. 2013'teki Ranbaxy vakası (biyoeşdeğerlik ve stabilite verilerinde sahtecilik; 500 milyon dolarlık uzlaşma) bu riskin münferit değil, yapısal olduğunu gösterir.</w:t>
      </w:r>
    </w:p>
    <w:p w14:paraId="0EE26708" w14:textId="77777777" w:rsidR="006B10B9" w:rsidRDefault="006B10B9" w:rsidP="006B10B9">
      <w:pPr>
        <w:spacing w:after="140"/>
        <w:jc w:val="both"/>
      </w:pPr>
      <w:r>
        <w:rPr>
          <w:b/>
        </w:rPr>
        <w:t xml:space="preserve">Buradan çıkan sonuç nettir. </w:t>
      </w:r>
      <w:r>
        <w:t>Akredite olmak, güvenilir olmanın başlangıcıdır; sonu değildir. Akreditasyon yalnızca belirli bir tarihte belirli koşulların sağlandığını gösterir; bilimsel güven ise sürekli denetim, habersiz inceleme ve bağımsız doğrulama ile oluşur. Ve Türkiye için asıl soru şudur: bu merkezlerde çalışılıp AB'de geçersiz ilan edilen ürünlerin bir kısmı Türkiye pazarında var mıdır, ve EMA/FDA bir merkezi geçersiz ilan ettiğinde TİTCK aynı çalışmalara dayanan ruhsatları yeniden değerlendirmekte midir? Bu sorunun kamuya açık cevabı yoktur.</w:t>
      </w:r>
    </w:p>
    <w:p w14:paraId="1E9752A8" w14:textId="77777777" w:rsidR="006B10B9" w:rsidRDefault="006B10B9" w:rsidP="006B10B9">
      <w:pPr>
        <w:spacing w:before="240" w:after="100"/>
      </w:pPr>
      <w:r>
        <w:rPr>
          <w:b/>
          <w:sz w:val="28"/>
          <w:szCs w:val="28"/>
        </w:rPr>
        <w:t>28. Kalite Kültürü Oluşturulabilir mi?</w:t>
      </w:r>
    </w:p>
    <w:p w14:paraId="2E4ACC14" w14:textId="77777777" w:rsidR="006B10B9" w:rsidRDefault="006B10B9" w:rsidP="006B10B9">
      <w:pPr>
        <w:spacing w:after="140"/>
        <w:jc w:val="both"/>
      </w:pPr>
      <w:r>
        <w:t>Kalite çoğu zaman cihazlarla ilişkilendirilir. Oysa ilaç endüstrisinde kalite önce kültürdür. Kalite kültürü olmayan bir kurum en pahalı LC-MS/MS cihazlarına, en modern tesislere ve en güncel GMP kılavuzlarına sahip olsa bile kalite sorunu yaşar. Çünkü kalite; dürüst veri üretme, hata saklamama, sapmaları raporlayabilme cesareti ve bilimsel eleştiriye açık olma kültürüdür.</w:t>
      </w:r>
    </w:p>
    <w:p w14:paraId="0683D4F7" w14:textId="77777777" w:rsidR="006B10B9" w:rsidRDefault="006B10B9" w:rsidP="006B10B9">
      <w:pPr>
        <w:spacing w:after="140"/>
        <w:jc w:val="both"/>
      </w:pPr>
      <w:r>
        <w:rPr>
          <w:b/>
        </w:rPr>
        <w:t>İyi kalite sistemleri hatasız oldukları için değil, hatalarını erken yakalayabildikleri için başarılıdır. Mükemmel üretim diye bir kavram yoktur; mükemmele en yakın, hatasını en hızlı gören sistem vardır. Ve bunun temelinde teknoloji değil, kurumsal kültür bulunur.</w:t>
      </w:r>
    </w:p>
    <w:p w14:paraId="0A8DB5F7" w14:textId="77777777" w:rsidR="004E399A" w:rsidRDefault="00000000">
      <w:pPr>
        <w:spacing w:before="240" w:after="100"/>
      </w:pPr>
      <w:r>
        <w:rPr>
          <w:b/>
          <w:sz w:val="28"/>
          <w:szCs w:val="28"/>
        </w:rPr>
        <w:t>29. Genel Değerlendirme ve Ana Mesaj</w:t>
      </w:r>
    </w:p>
    <w:p w14:paraId="798A7AFA" w14:textId="77777777" w:rsidR="004E399A" w:rsidRDefault="00000000">
      <w:pPr>
        <w:spacing w:after="140"/>
        <w:jc w:val="both"/>
      </w:pPr>
      <w:r>
        <w:lastRenderedPageBreak/>
        <w:t>Jenerik ilaçlar üzerine tartışmalar çoğu zaman iki uca sıkışır: bir yanda jeneriklerin tümüyle güvenli olduğu inancı, diğer yanda topyekûn kuşku. Bilimsel gerçek ikisinin arasındadır. Kaliteli bir jenerik ile kaliteli bir referans ürün arasında klinik olarak anlamlı fark beklenmez; ama belirleyici sözcük "kaliteli"dir. Bu makalenin temel mesajı tek cümlede özetlenebilir: jenerik ilaçlar sorun değildir; sorun, kalite sisteminin zayıf ve şeffaflığın eksik olduğu ortamlardır.</w:t>
      </w:r>
    </w:p>
    <w:p w14:paraId="509CB624" w14:textId="77777777" w:rsidR="004E399A" w:rsidRDefault="00000000">
      <w:pPr>
        <w:spacing w:after="140"/>
        <w:jc w:val="both"/>
      </w:pPr>
      <w:r>
        <w:rPr>
          <w:b/>
        </w:rPr>
        <w:t xml:space="preserve">Kalite hiçbir zaman varsayılmamalıdır. </w:t>
      </w:r>
      <w:r>
        <w:t>Her ürün, her üretim tesisi, her üretim değişikliği, her biyoeşdeğerlik çalışması ve her veri seti bilimsel olarak doğrulanmalıdır. Modern düzenleyici sistemler son elli yılda olağanüstü gelişti; GMP standartları oturdu, biyoeşdeğerlik kılavuzları uyumlaştırıldı, ICH rehberleri ortak bir dil kurdu. Ama bu ilerleme, sistemin kör noktalarını ortadan kaldırmadı: dosya üzerinden değerlendirmenin gerçek uygulamayı görememesi, yurt dışı denetimlerin sınırı, veri bütünliğinin kırılganlığı ve en önemlisi şeffaflık eksikliği hâlâ oradadır.</w:t>
      </w:r>
    </w:p>
    <w:p w14:paraId="27045D85" w14:textId="77777777" w:rsidR="004E399A" w:rsidRDefault="00000000">
      <w:pPr>
        <w:spacing w:after="140"/>
        <w:jc w:val="both"/>
      </w:pPr>
      <w:r>
        <w:t>Bir ilacın kaliteli olması için kimyasal olarak doğru olması yeterli değildir; farmasötik olarak doğru, farmakokinetik olarak öngörülebilir ve klinik olarak güvenilir olması, üretim sürecinin sürekli doğrulanması, verinin güvenilir, denetimin bağımsız ve sürecin şeffaf olması gerekir. Bunların tamamına birlikte kalite güvencesi denir; bir halka eksikse, diğerleri onu tam olarak telafi edemez. Modern farmakoloji artık "güven" üzerine değil, kanıtlanabilir güven üzerine kuruludur.</w:t>
      </w:r>
    </w:p>
    <w:p w14:paraId="6D847402" w14:textId="77777777" w:rsidR="004E399A" w:rsidRDefault="00000000">
      <w:pPr>
        <w:spacing w:after="140"/>
        <w:jc w:val="both"/>
      </w:pPr>
      <w:r>
        <w:rPr>
          <w:b/>
        </w:rPr>
        <w:t>Geleceğin ilaç kalitesini belirleyecek olan ne molekül, ne marka, ne de fiyattır; belirleyici olan, bilimsel doğrulama kültürüdür.</w:t>
      </w:r>
    </w:p>
    <w:p w14:paraId="0D634F84" w14:textId="77777777" w:rsidR="006B10B9" w:rsidRDefault="006B10B9" w:rsidP="006B10B9">
      <w:pPr>
        <w:spacing w:before="240" w:after="100"/>
      </w:pPr>
      <w:r>
        <w:rPr>
          <w:b/>
          <w:sz w:val="28"/>
          <w:szCs w:val="28"/>
        </w:rPr>
        <w:t>30. Makalenin Son Sözü</w:t>
      </w:r>
    </w:p>
    <w:p w14:paraId="35EE25E3" w14:textId="77777777" w:rsidR="006B10B9" w:rsidRDefault="006B10B9" w:rsidP="006B10B9">
      <w:pPr>
        <w:spacing w:after="140"/>
        <w:jc w:val="both"/>
      </w:pPr>
      <w:r>
        <w:t>Jenerik ilaçlar hakkındaki tartışma muhtemelen hiç bitmeyecektir; çünkü bu, yalnızca farmakolojinin değil, ekonominin, etiğin, hukukun, sanayinin ve hasta beklentilerinin kesiştiği bir alandır. Ama bilim açısından artık tartışılmaması gereken gerçekler vardır: jenerik ilaçlar sağlık sistemlerinin vazgeçilmezidir, biyoeşdeğerlik güçlü bir yöntemdir, GMP zorunludur — ve bunların hiçbiri tek başına yeterli değildir.</w:t>
      </w:r>
    </w:p>
    <w:p w14:paraId="0C305261" w14:textId="77777777" w:rsidR="006B10B9" w:rsidRDefault="006B10B9" w:rsidP="006B10B9">
      <w:pPr>
        <w:spacing w:after="140"/>
        <w:jc w:val="both"/>
      </w:pPr>
      <w:r>
        <w:t>Gerçek kalite; üretimin her aşamasında sorgulanan, bağımsız olarak doğrulanan ve şeffaf biçimde raporlanan bir sistem içinde oluşur. Bu nedenle verilecek en doğru mesaj şudur: kaliteli ilaç tesadüfen üretilmez; sürekli denetlenir, bilimsel şüpheciliğin ürünüdür ve güçlü, şeffaf bir düzenleyici bilimin eseridir.</w:t>
      </w:r>
    </w:p>
    <w:p w14:paraId="34D50FB5" w14:textId="77777777" w:rsidR="006B10B9" w:rsidRDefault="006B10B9" w:rsidP="006B10B9">
      <w:pPr>
        <w:spacing w:after="140"/>
        <w:jc w:val="both"/>
      </w:pPr>
      <w:r>
        <w:rPr>
          <w:b/>
        </w:rPr>
        <w:t>Bir ilacın gerçek kalitesi, ruhsat dosyasında yazanlarla değil; piyasada milyonlarca hastaya ulaştıktan sonra da aynı bilimsel standartları koruyabilmesiyle — ve bu standartların bağımsız olarak doğrulanabilmesiyle — ölçülür.</w:t>
      </w:r>
    </w:p>
    <w:p w14:paraId="6CC85CA1" w14:textId="77777777" w:rsidR="00374B86" w:rsidRPr="00754EC9" w:rsidRDefault="00374B86" w:rsidP="00754EC9">
      <w:pPr>
        <w:spacing w:after="0" w:line="240" w:lineRule="auto"/>
        <w:jc w:val="both"/>
        <w:rPr>
          <w:rFonts w:cs="Times New Roman"/>
          <w:noProof/>
          <w:kern w:val="0"/>
          <w14:ligatures w14:val="none"/>
        </w:rPr>
      </w:pPr>
    </w:p>
    <w:p w14:paraId="5D96906F" w14:textId="77777777" w:rsidR="004E399A" w:rsidRDefault="00000000">
      <w:pPr>
        <w:spacing w:before="240" w:after="100"/>
      </w:pPr>
      <w:r>
        <w:rPr>
          <w:b/>
          <w:sz w:val="28"/>
          <w:szCs w:val="28"/>
        </w:rPr>
        <w:t>Kaynaklar</w:t>
      </w:r>
    </w:p>
    <w:p w14:paraId="742FED94" w14:textId="77777777" w:rsidR="00CB351D" w:rsidRPr="00754EC9" w:rsidRDefault="00CB351D"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lastRenderedPageBreak/>
        <w:t xml:space="preserve">Amidon GL, Lennernäs H, Shah VP, Crison JR. A theoretical basis for a biopharmaceutics drug classification: the correlation of in vitro drug product dissolution and in vivo bioavailability. </w:t>
      </w:r>
      <w:r>
        <w:rPr>
          <w:rFonts w:cs="Times New Roman"/>
          <w:bCs/>
          <w:noProof/>
          <w:kern w:val="0"/>
          <w14:ligatures w14:val="none"/>
        </w:rPr>
        <w:t xml:space="preserve">Pharm Res. </w:t>
      </w:r>
      <w:r>
        <w:rPr>
          <w:rFonts w:cs="Times New Roman"/>
          <w:noProof/>
          <w:kern w:val="0"/>
          <w14:ligatures w14:val="none"/>
        </w:rPr>
        <w:t xml:space="preserve">1995;12(3):413-20. </w:t>
      </w:r>
    </w:p>
    <w:p w14:paraId="6DBA3F3F" w14:textId="77777777" w:rsidR="00CB351D" w:rsidRPr="00754EC9" w:rsidRDefault="00CB351D"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Davit BM, Nwakama PE, Buehler GJ, Conner DP, Haidar SH, Patel DT, et al. Comparing generic and innovator drugs: a review of 12 years of bioequivalence data from the United States Food and Drug Administration. </w:t>
      </w:r>
      <w:r>
        <w:rPr>
          <w:rFonts w:cs="Times New Roman"/>
          <w:bCs/>
          <w:noProof/>
          <w:kern w:val="0"/>
          <w14:ligatures w14:val="none"/>
        </w:rPr>
        <w:t>Ann Pharmacother.</w:t>
      </w:r>
      <w:r>
        <w:rPr>
          <w:rFonts w:cs="Times New Roman"/>
          <w:noProof/>
          <w:kern w:val="0"/>
          <w14:ligatures w14:val="none"/>
        </w:rPr>
        <w:t xml:space="preserve"> 2009;43(10):1583-97. </w:t>
      </w:r>
    </w:p>
    <w:p w14:paraId="1D195717" w14:textId="77777777" w:rsidR="00CB351D" w:rsidRPr="00754EC9" w:rsidRDefault="00CB351D"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Schuirmann DJ. A comparison of the two one-sided tests procedure and the power approach for assessing the equivalence of average bioavailability. J Pharmacokinet Biopharm. 1987;15(6):657-80. </w:t>
      </w:r>
      <w:r>
        <w:rPr>
          <w:rFonts w:cs="Times New Roman"/>
          <w:bCs/>
          <w:noProof/>
          <w:kern w:val="0"/>
          <w14:ligatures w14:val="none"/>
        </w:rPr>
        <w:t xml:space="preserve">J Pharmacokinet Biopharm. </w:t>
      </w:r>
      <w:r>
        <w:rPr>
          <w:rFonts w:cs="Times New Roman"/>
          <w:noProof/>
          <w:kern w:val="0"/>
          <w14:ligatures w14:val="none"/>
        </w:rPr>
        <w:t xml:space="preserve">1987;15(6):657-80. </w:t>
      </w:r>
    </w:p>
    <w:p w14:paraId="702EC2ED" w14:textId="77777777" w:rsidR="00CB351D" w:rsidRPr="00754EC9" w:rsidRDefault="00CB351D"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Chow SC, Liu JP. Design and Analysis of Bioavailability and Bioequivalence Studies. 3rd ed. Boca Raton (FL): Chapman &amp;amp; Hall/CRC; 2008. </w:t>
      </w:r>
      <w:r>
        <w:rPr>
          <w:rFonts w:cs="Times New Roman"/>
          <w:bCs/>
          <w:noProof/>
          <w:kern w:val="0"/>
          <w14:ligatures w14:val="none"/>
        </w:rPr>
        <w:t xml:space="preserve">Design and Analysis of Bioavailability and Bioequivalence Studies. </w:t>
      </w:r>
      <w:r>
        <w:rPr>
          <w:rFonts w:cs="Times New Roman"/>
          <w:noProof/>
          <w:kern w:val="0"/>
          <w14:ligatures w14:val="none"/>
        </w:rPr>
        <w:t xml:space="preserve">3rd ed. Boca Raton (FL): Chapman &amp; Hall/CRC; 2008. </w:t>
      </w:r>
    </w:p>
    <w:p w14:paraId="4CF8F96E" w14:textId="77777777" w:rsidR="00CB351D" w:rsidRPr="00754EC9" w:rsidRDefault="00CB351D"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Steinijans VW, Hauschke D. Bioequivalence Studies in Drug Development. Chichester: John Wiley &amp;amp; Sons; 1996. </w:t>
      </w:r>
      <w:r>
        <w:rPr>
          <w:rFonts w:cs="Times New Roman"/>
          <w:bCs/>
          <w:noProof/>
          <w:kern w:val="0"/>
          <w14:ligatures w14:val="none"/>
        </w:rPr>
        <w:t xml:space="preserve">Bioequivalence Studies in Drug Development. </w:t>
      </w:r>
      <w:r>
        <w:rPr>
          <w:rFonts w:cs="Times New Roman"/>
          <w:noProof/>
          <w:kern w:val="0"/>
          <w14:ligatures w14:val="none"/>
        </w:rPr>
        <w:t xml:space="preserve">Chichester: John Wiley &amp; Sons; 1996. </w:t>
      </w:r>
    </w:p>
    <w:p w14:paraId="0685CA0E" w14:textId="77777777" w:rsidR="00CB351D" w:rsidRPr="00754EC9" w:rsidRDefault="00CB351D"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Midha KK, Rawson MJ. The evolution of bioequivalence testing. Pharm Sci Technol Today. 2000;3(2):49-57. </w:t>
      </w:r>
      <w:r>
        <w:rPr>
          <w:rFonts w:cs="Times New Roman"/>
          <w:bCs/>
          <w:noProof/>
          <w:kern w:val="0"/>
          <w14:ligatures w14:val="none"/>
        </w:rPr>
        <w:t xml:space="preserve">Pharm Sci Technol Today. </w:t>
      </w:r>
      <w:r>
        <w:rPr>
          <w:rFonts w:cs="Times New Roman"/>
          <w:noProof/>
          <w:kern w:val="0"/>
          <w14:ligatures w14:val="none"/>
        </w:rPr>
        <w:t xml:space="preserve">2000;3(2):49-57. </w:t>
      </w:r>
    </w:p>
    <w:p w14:paraId="55A52D70" w14:textId="77777777" w:rsidR="00CB351D" w:rsidRPr="00754EC9" w:rsidRDefault="00CB351D"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Shah VP, Midha KK, Findlay JWA, Hill HM, Hulse JD, McGilveray IJ, McKay G, Miller KJ, Patnaik RN, Powell ML, et al. Bioanalytical method validation: a revisit with a decade of progress. Pharm Res. 2000;17(12):1551-7. </w:t>
      </w:r>
      <w:r>
        <w:rPr>
          <w:rFonts w:cs="Times New Roman"/>
          <w:bCs/>
          <w:noProof/>
          <w:kern w:val="0"/>
          <w14:ligatures w14:val="none"/>
        </w:rPr>
        <w:t xml:space="preserve">Pharm Res. </w:t>
      </w:r>
      <w:r>
        <w:rPr>
          <w:rFonts w:cs="Times New Roman"/>
          <w:noProof/>
          <w:kern w:val="0"/>
          <w14:ligatures w14:val="none"/>
        </w:rPr>
        <w:t xml:space="preserve">2000;17(12):1551-7. </w:t>
      </w:r>
    </w:p>
    <w:p w14:paraId="3CCCFDED" w14:textId="77777777" w:rsidR="00CB351D" w:rsidRPr="00754EC9" w:rsidRDefault="00CB351D"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Chen ML, Shah VP, Patnaik R, Adams W, Hussain A, Conner D, et al. Bioavailability and bioequivalence: an FDA regulatory overview. </w:t>
      </w:r>
      <w:r>
        <w:rPr>
          <w:rFonts w:cs="Times New Roman"/>
          <w:bCs/>
          <w:noProof/>
          <w:kern w:val="0"/>
          <w14:ligatures w14:val="none"/>
        </w:rPr>
        <w:t>Pharm Res.</w:t>
      </w:r>
      <w:r>
        <w:rPr>
          <w:rFonts w:cs="Times New Roman"/>
          <w:noProof/>
          <w:kern w:val="0"/>
          <w14:ligatures w14:val="none"/>
        </w:rPr>
        <w:t xml:space="preserve"> 2001;18(12):1645-50. </w:t>
      </w:r>
    </w:p>
    <w:p w14:paraId="1F363794" w14:textId="77777777" w:rsidR="00CB351D" w:rsidRPr="00754EC9" w:rsidRDefault="00CB351D"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Yu LX, Amidon GL, Polli JE, Zhao H, Mehta MU, Conner DP, et al. Biopharmaceutics Classification System: the scientific basis for biowaiver extensions. </w:t>
      </w:r>
      <w:r>
        <w:rPr>
          <w:rFonts w:cs="Times New Roman"/>
          <w:bCs/>
          <w:noProof/>
          <w:kern w:val="0"/>
          <w14:ligatures w14:val="none"/>
        </w:rPr>
        <w:t xml:space="preserve">Pharm Res. </w:t>
      </w:r>
      <w:r>
        <w:rPr>
          <w:rFonts w:cs="Times New Roman"/>
          <w:noProof/>
          <w:kern w:val="0"/>
          <w14:ligatures w14:val="none"/>
        </w:rPr>
        <w:t xml:space="preserve">2002;19(7):921-5. </w:t>
      </w:r>
    </w:p>
    <w:p w14:paraId="7DFEF15E" w14:textId="77777777" w:rsidR="00CB351D" w:rsidRPr="00754EC9" w:rsidRDefault="00CB351D"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Benet LZ, Amidon GL, Barends DM, Lennernäs H, Polli JE, Shah VP, Stavchansky SA, Yu LX. The use of the Biopharmaceutics Classification System in drug development. Pharm Res. 2008;25(3):483-8.Dressman JB, Reppas C. In vitro-in vivo correlations for lipophilic, poorly water-soluble drugs. Eur J Pharm Sci. 2000;11(Suppl 2):S73-S80. </w:t>
      </w:r>
      <w:r>
        <w:rPr>
          <w:rFonts w:cs="Times New Roman"/>
          <w:bCs/>
          <w:noProof/>
          <w:kern w:val="0"/>
          <w14:ligatures w14:val="none"/>
        </w:rPr>
        <w:t xml:space="preserve">Pharm Res. </w:t>
      </w:r>
      <w:r>
        <w:rPr>
          <w:rFonts w:cs="Times New Roman"/>
          <w:noProof/>
          <w:kern w:val="0"/>
          <w14:ligatures w14:val="none"/>
        </w:rPr>
        <w:t xml:space="preserve">2008;25(3):483-8. </w:t>
      </w:r>
    </w:p>
    <w:p w14:paraId="387EA3BA" w14:textId="77777777" w:rsidR="00CB351D" w:rsidRPr="00754EC9" w:rsidRDefault="00CB351D"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Dressman JB, Reppas C. In vitro-in vivo correlations for lipophilic, poorly water-soluble drugs. </w:t>
      </w:r>
      <w:r>
        <w:rPr>
          <w:rFonts w:cs="Times New Roman"/>
          <w:bCs/>
          <w:noProof/>
          <w:kern w:val="0"/>
          <w14:ligatures w14:val="none"/>
        </w:rPr>
        <w:t xml:space="preserve">Eur J Pharm Sci. </w:t>
      </w:r>
      <w:r>
        <w:rPr>
          <w:rFonts w:cs="Times New Roman"/>
          <w:noProof/>
          <w:kern w:val="0"/>
          <w14:ligatures w14:val="none"/>
        </w:rPr>
        <w:t xml:space="preserve">2000;11(Suppl 2) :S73-S80 . </w:t>
      </w:r>
    </w:p>
    <w:p w14:paraId="6D5BE4B8" w14:textId="77777777" w:rsidR="00CB351D" w:rsidRPr="00754EC9" w:rsidRDefault="00CB351D"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Blume HH, Schug BS. The biopharmaceutics classification system (BCS): classifying drugs for improved drug development. Eur J Pharm Biopharm. 1999;50(1):1-10. </w:t>
      </w:r>
      <w:r>
        <w:rPr>
          <w:rFonts w:cs="Times New Roman"/>
          <w:bCs/>
          <w:noProof/>
          <w:kern w:val="0"/>
          <w14:ligatures w14:val="none"/>
        </w:rPr>
        <w:t xml:space="preserve">Eur J Pharm Biopharm. </w:t>
      </w:r>
      <w:r>
        <w:rPr>
          <w:rFonts w:cs="Times New Roman"/>
          <w:noProof/>
          <w:kern w:val="0"/>
          <w14:ligatures w14:val="none"/>
        </w:rPr>
        <w:t xml:space="preserve">1999;50(1):1-10. </w:t>
      </w:r>
    </w:p>
    <w:p w14:paraId="796251FD" w14:textId="77777777" w:rsidR="00CB351D" w:rsidRPr="00754EC9" w:rsidRDefault="00CB351D"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lastRenderedPageBreak/>
        <w:t xml:space="preserve">Endrenyi L, Tothfalusi L. Metrics for the evaluation of bioequivalence of modified-release formulations. </w:t>
      </w:r>
      <w:r>
        <w:rPr>
          <w:rFonts w:cs="Times New Roman"/>
          <w:bCs/>
          <w:noProof/>
          <w:kern w:val="0"/>
          <w14:ligatures w14:val="none"/>
        </w:rPr>
        <w:t>AAPS J.</w:t>
      </w:r>
      <w:r>
        <w:rPr>
          <w:rFonts w:cs="Times New Roman"/>
          <w:noProof/>
          <w:kern w:val="0"/>
          <w14:ligatures w14:val="none"/>
        </w:rPr>
        <w:t xml:space="preserve"> 2012;14(4):813-9. </w:t>
      </w:r>
    </w:p>
    <w:p w14:paraId="4BF04D5F" w14:textId="77777777" w:rsidR="00CB351D" w:rsidRPr="00754EC9" w:rsidRDefault="00CB351D"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Tothfalusi L, Endrenyi L. Limits for the scaled average bioequivalence of narrow therapeutic index drugs. </w:t>
      </w:r>
      <w:r>
        <w:rPr>
          <w:rFonts w:cs="Times New Roman"/>
          <w:bCs/>
          <w:noProof/>
          <w:kern w:val="0"/>
          <w14:ligatures w14:val="none"/>
        </w:rPr>
        <w:t xml:space="preserve">AAPS J. </w:t>
      </w:r>
      <w:r>
        <w:rPr>
          <w:rFonts w:cs="Times New Roman"/>
          <w:noProof/>
          <w:kern w:val="0"/>
          <w14:ligatures w14:val="none"/>
        </w:rPr>
        <w:t xml:space="preserve">2013;15(3):725-30. </w:t>
      </w:r>
    </w:p>
    <w:p w14:paraId="5CD51618" w14:textId="77777777" w:rsidR="00CB351D" w:rsidRPr="00754EC9" w:rsidRDefault="00CB351D"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US Food and Drug Administration. Approved Drug Products with Therapeutic Equivalence Evaluations (Orange Book). Silver Spring (MD): US Food and Drug Administration.US Food and Drug Administration. Bioavailability and Bioequivalence Studies Submitted in NDAs or INDs—General Considerations. Guidance for Industry. Silver Spring (MD): FDA; 2022. </w:t>
      </w:r>
      <w:r>
        <w:rPr>
          <w:rFonts w:cs="Times New Roman"/>
          <w:bCs/>
          <w:noProof/>
          <w:kern w:val="0"/>
          <w14:ligatures w14:val="none"/>
        </w:rPr>
        <w:t xml:space="preserve">Approved Drug Products with Therapeutic Equivalence Evaluations (Orange Book). </w:t>
      </w:r>
      <w:r>
        <w:rPr>
          <w:rFonts w:cs="Times New Roman"/>
          <w:noProof/>
          <w:kern w:val="0"/>
          <w14:ligatures w14:val="none"/>
        </w:rPr>
        <w:t xml:space="preserve">Silver Spring (MD): US Food and Drug Administration. </w:t>
      </w:r>
    </w:p>
    <w:p w14:paraId="75BD75BA" w14:textId="77777777" w:rsidR="00CB351D" w:rsidRPr="00754EC9" w:rsidRDefault="00CB351D"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US Food and Drug Administration. </w:t>
      </w:r>
      <w:r>
        <w:rPr>
          <w:rFonts w:cs="Times New Roman"/>
          <w:bCs/>
          <w:noProof/>
          <w:kern w:val="0"/>
          <w14:ligatures w14:val="none"/>
        </w:rPr>
        <w:t xml:space="preserve">Bioavailability and Bioequivalence Studies Submitted in NDAs or INDs—General Considerations. </w:t>
      </w:r>
      <w:r>
        <w:rPr>
          <w:rFonts w:cs="Times New Roman"/>
          <w:noProof/>
          <w:kern w:val="0"/>
          <w14:ligatures w14:val="none"/>
        </w:rPr>
        <w:t xml:space="preserve">Guidance for Industry. Silver Spring (MD): FDA; 2022. </w:t>
      </w:r>
    </w:p>
    <w:p w14:paraId="005A46B4" w14:textId="77777777" w:rsidR="00CB351D" w:rsidRPr="00754EC9" w:rsidRDefault="00CB351D"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US Food and Drug Administration. Bioequivalence Studies with Pharmacokinetic Endpoints for Drugs Submitted Under an ANDA. Guidance for Industry. Silver Spring (MD): FDA; 2022. </w:t>
      </w:r>
      <w:r>
        <w:rPr>
          <w:rFonts w:cs="Times New Roman"/>
          <w:bCs/>
          <w:noProof/>
          <w:kern w:val="0"/>
          <w14:ligatures w14:val="none"/>
        </w:rPr>
        <w:t xml:space="preserve">Bioequivalence Studies with Pharmacokinetic Endpoints for Drugs Submitted Under an ANDA. </w:t>
      </w:r>
      <w:r>
        <w:rPr>
          <w:rFonts w:cs="Times New Roman"/>
          <w:noProof/>
          <w:kern w:val="0"/>
          <w14:ligatures w14:val="none"/>
        </w:rPr>
        <w:t xml:space="preserve">Guidance for Industry. Silver Spring (MD): FDA; 2022. </w:t>
      </w:r>
    </w:p>
    <w:p w14:paraId="22570AAF" w14:textId="77777777" w:rsidR="00CB351D" w:rsidRPr="00754EC9" w:rsidRDefault="00CB351D"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US Food and Drug Administration. Product-Specific Guidances for Generic Drug Development. Silver Spring (MD): FDA.European Medicines Agency. Guideline on the Investigation of Bioequivalence. London: European Medicines Agency; 2010 (Rev.1). </w:t>
      </w:r>
      <w:r>
        <w:rPr>
          <w:rFonts w:cs="Times New Roman"/>
          <w:bCs/>
          <w:noProof/>
          <w:kern w:val="0"/>
          <w14:ligatures w14:val="none"/>
        </w:rPr>
        <w:t xml:space="preserve">Product-Specific Guidances for Generic Drug Development. </w:t>
      </w:r>
      <w:r>
        <w:rPr>
          <w:rFonts w:cs="Times New Roman"/>
          <w:noProof/>
          <w:kern w:val="0"/>
          <w14:ligatures w14:val="none"/>
        </w:rPr>
        <w:t xml:space="preserve">Silver Spring (MD): FDA. </w:t>
      </w:r>
    </w:p>
    <w:p w14:paraId="0041A443" w14:textId="77777777" w:rsidR="00CB351D" w:rsidRPr="00754EC9" w:rsidRDefault="00CB351D"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European Medicines Agency. </w:t>
      </w:r>
      <w:r>
        <w:rPr>
          <w:rFonts w:cs="Times New Roman"/>
          <w:bCs/>
          <w:noProof/>
          <w:kern w:val="0"/>
          <w14:ligatures w14:val="none"/>
        </w:rPr>
        <w:t xml:space="preserve">Guideline on the Investigation of Bioequivalence. </w:t>
      </w:r>
      <w:r>
        <w:rPr>
          <w:rFonts w:cs="Times New Roman"/>
          <w:noProof/>
          <w:kern w:val="0"/>
          <w14:ligatures w14:val="none"/>
        </w:rPr>
        <w:t xml:space="preserve">London: European Medicines Agency; 2010 (Rev.1). </w:t>
      </w:r>
    </w:p>
    <w:p w14:paraId="7147412E" w14:textId="77777777" w:rsidR="00CB351D" w:rsidRPr="00754EC9" w:rsidRDefault="00CB351D"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International Council for Harmonisation. ICH Harmonised Guideline M9: Biopharmaceutics Classification System-Based Biowaivers. Geneva: ICH; 2021.International Council for Harmonisation. ICH Q8(R2): Pharmaceutical Development. Geneva: ICH; 2009. </w:t>
      </w:r>
      <w:r>
        <w:rPr>
          <w:rFonts w:cs="Times New Roman"/>
          <w:bCs/>
          <w:noProof/>
          <w:kern w:val="0"/>
          <w14:ligatures w14:val="none"/>
        </w:rPr>
        <w:t xml:space="preserve">ICH Harmonised Guideline M9: Biopharmaceutics Classification System-Based Biowaivers. </w:t>
      </w:r>
      <w:r>
        <w:rPr>
          <w:rFonts w:cs="Times New Roman"/>
          <w:noProof/>
          <w:kern w:val="0"/>
          <w14:ligatures w14:val="none"/>
        </w:rPr>
        <w:t xml:space="preserve">Geneva: ICH; 2021. </w:t>
      </w:r>
    </w:p>
    <w:p w14:paraId="559C6D4F" w14:textId="77777777" w:rsidR="00CB351D" w:rsidRPr="00754EC9" w:rsidRDefault="00CB351D"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International Council for Harmonisation. </w:t>
      </w:r>
      <w:r>
        <w:rPr>
          <w:rFonts w:cs="Times New Roman"/>
          <w:bCs/>
          <w:noProof/>
          <w:kern w:val="0"/>
          <w14:ligatures w14:val="none"/>
        </w:rPr>
        <w:t xml:space="preserve">ICH Q8(R2): Pharmaceutical Development. </w:t>
      </w:r>
      <w:r>
        <w:rPr>
          <w:rFonts w:cs="Times New Roman"/>
          <w:noProof/>
          <w:kern w:val="0"/>
          <w14:ligatures w14:val="none"/>
        </w:rPr>
        <w:t xml:space="preserve">Geneva: ICH; 2009. </w:t>
      </w:r>
    </w:p>
    <w:p w14:paraId="6D1A51A1" w14:textId="77777777" w:rsidR="00CB351D" w:rsidRPr="00754EC9" w:rsidRDefault="00CB351D"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International Council for Harmonisation. ICH Q9(R1): Quality Risk Management. Geneva: ICH; 2023. </w:t>
      </w:r>
      <w:r>
        <w:rPr>
          <w:rFonts w:cs="Times New Roman"/>
          <w:bCs/>
          <w:noProof/>
          <w:kern w:val="0"/>
          <w14:ligatures w14:val="none"/>
        </w:rPr>
        <w:t xml:space="preserve">ICH Q9(R1): Quality Risk Management. </w:t>
      </w:r>
      <w:r>
        <w:rPr>
          <w:rFonts w:cs="Times New Roman"/>
          <w:noProof/>
          <w:kern w:val="0"/>
          <w14:ligatures w14:val="none"/>
        </w:rPr>
        <w:t xml:space="preserve">Geneva: ICH; 2023. </w:t>
      </w:r>
    </w:p>
    <w:p w14:paraId="25BA76D7" w14:textId="77777777" w:rsidR="00CB351D" w:rsidRPr="00754EC9" w:rsidRDefault="00CB351D"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International Council for Harmonisation. ICH Q10: Pharmaceutical Quality System. Geneva: ICH; 2008.International Council for Harmonisation. ICH M7(R2): Assessment and Control of DNA Reactive (Mutagenic) Impurities in Pharmaceuticals to Limit Potential Carcinogenic Risk. Geneva: ICH; 2023. </w:t>
      </w:r>
      <w:r>
        <w:rPr>
          <w:rFonts w:cs="Times New Roman"/>
          <w:bCs/>
          <w:noProof/>
          <w:kern w:val="0"/>
          <w14:ligatures w14:val="none"/>
        </w:rPr>
        <w:t xml:space="preserve">ICH Q10: Pharmaceutical Quality System. </w:t>
      </w:r>
      <w:r>
        <w:rPr>
          <w:rFonts w:cs="Times New Roman"/>
          <w:noProof/>
          <w:kern w:val="0"/>
          <w14:ligatures w14:val="none"/>
        </w:rPr>
        <w:t xml:space="preserve">Geneva: ICH; 2008. </w:t>
      </w:r>
    </w:p>
    <w:p w14:paraId="7D6DD86A" w14:textId="77777777" w:rsidR="00CB351D" w:rsidRPr="00754EC9" w:rsidRDefault="00CB351D"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lastRenderedPageBreak/>
        <w:t xml:space="preserve">International Council for Harmonisation. </w:t>
      </w:r>
      <w:r>
        <w:rPr>
          <w:rFonts w:cs="Times New Roman"/>
          <w:bCs/>
          <w:noProof/>
          <w:kern w:val="0"/>
          <w14:ligatures w14:val="none"/>
        </w:rPr>
        <w:t xml:space="preserve">ICH M7(R2): Assessment and Control of DNA Reactive (Mutagenic) Impurities in Pharmaceuticals to Limit Potential Carcinogenic Risk. </w:t>
      </w:r>
      <w:r>
        <w:rPr>
          <w:rFonts w:cs="Times New Roman"/>
          <w:noProof/>
          <w:kern w:val="0"/>
          <w14:ligatures w14:val="none"/>
        </w:rPr>
        <w:t xml:space="preserve">Geneva: ICH; 2023. </w:t>
      </w:r>
    </w:p>
    <w:p w14:paraId="7A145131" w14:textId="77777777" w:rsidR="00CB351D" w:rsidRPr="00754EC9" w:rsidRDefault="00CB351D" w:rsidP="00754EC9">
      <w:pPr>
        <w:spacing w:before="100" w:beforeAutospacing="1" w:after="100" w:afterAutospacing="1" w:line="240" w:lineRule="auto"/>
        <w:jc w:val="both"/>
        <w:rPr>
          <w:rFonts w:cs="Times New Roman"/>
          <w:noProof/>
          <w:kern w:val="0"/>
          <w14:ligatures w14:val="none"/>
        </w:rPr>
      </w:pPr>
      <w:r>
        <w:rPr>
          <w:rFonts w:cs="Times New Roman"/>
          <w:noProof/>
          <w:kern w:val="0"/>
          <w14:ligatures w14:val="none"/>
        </w:rPr>
        <w:t xml:space="preserve">World Health Organization. Multisource (generic) pharmaceutical products: guidelines on registration requirements to establish interchangeability. Geneva: World Health Organization; WHO Technical Report Series. </w:t>
      </w:r>
      <w:r>
        <w:rPr>
          <w:rFonts w:cs="Times New Roman"/>
          <w:bCs/>
          <w:noProof/>
          <w:kern w:val="0"/>
          <w14:ligatures w14:val="none"/>
        </w:rPr>
        <w:t xml:space="preserve">Multisource (generic) pharmaceutical products: guidelines on registration requirements to establish interchangeability. </w:t>
      </w:r>
      <w:r>
        <w:rPr>
          <w:rFonts w:cs="Times New Roman"/>
          <w:noProof/>
          <w:kern w:val="0"/>
          <w14:ligatures w14:val="none"/>
        </w:rPr>
        <w:t xml:space="preserve">Geneva: World Health Organization; WHO Technical Report Series. </w:t>
      </w:r>
    </w:p>
    <w:p w14:paraId="787BBA36" w14:textId="66BFF92D" w:rsidR="00CB351D" w:rsidRPr="00754EC9" w:rsidRDefault="00CB351D" w:rsidP="00754EC9">
      <w:pPr>
        <w:pStyle w:val="ListParagraph"/>
        <w:spacing w:after="0" w:line="240" w:lineRule="auto"/>
        <w:jc w:val="both"/>
        <w:rPr>
          <w:rFonts w:cs="Times New Roman"/>
          <w:noProof/>
          <w:kern w:val="0"/>
          <w14:ligatures w14:val="none"/>
        </w:rPr>
      </w:pPr>
      <w:r>
        <w:rPr>
          <w:rFonts w:cs="Times New Roman"/>
          <w:noProof/>
          <w:kern w:val="0"/>
          <w14:ligatures w14:val="none"/>
        </w:rPr>
        <w:t xml:space="preserve">World Health Organization. </w:t>
      </w:r>
      <w:r>
        <w:rPr>
          <w:rFonts w:cs="Times New Roman"/>
          <w:bCs/>
          <w:noProof/>
          <w:kern w:val="0"/>
          <w14:ligatures w14:val="none"/>
        </w:rPr>
        <w:t xml:space="preserve">WHO Expert Committee on Specifications for Pharmaceutical Preparations. Fifty-seventh report. </w:t>
      </w:r>
      <w:r>
        <w:rPr>
          <w:rFonts w:cs="Times New Roman"/>
          <w:noProof/>
          <w:kern w:val="0"/>
          <w14:ligatures w14:val="none"/>
        </w:rPr>
        <w:t xml:space="preserve">WHO Tech Rep Ser. Geneva: World Health Organization; 2023. </w:t>
      </w:r>
    </w:p>
    <w:p w14:paraId="3DA39BBC" w14:textId="24AD9D53" w:rsidR="00CB351D" w:rsidRPr="00754EC9" w:rsidRDefault="00CB351D" w:rsidP="00754EC9">
      <w:pPr>
        <w:pStyle w:val="ListParagraph"/>
        <w:spacing w:after="0" w:line="240" w:lineRule="auto"/>
        <w:jc w:val="both"/>
        <w:rPr>
          <w:rFonts w:cs="Times New Roman"/>
          <w:noProof/>
          <w:kern w:val="0"/>
          <w14:ligatures w14:val="none"/>
        </w:rPr>
      </w:pPr>
      <w:r>
        <w:rPr>
          <w:rFonts w:cs="Times New Roman"/>
          <w:noProof/>
          <w:kern w:val="0"/>
          <w14:ligatures w14:val="none"/>
        </w:rPr>
        <w:t xml:space="preserve">Pharmaceutical Inspection Co-operation Scheme (PIC/S). </w:t>
      </w:r>
      <w:r>
        <w:rPr>
          <w:rFonts w:cs="Times New Roman"/>
          <w:bCs/>
          <w:noProof/>
          <w:kern w:val="0"/>
          <w14:ligatures w14:val="none"/>
        </w:rPr>
        <w:t xml:space="preserve">Guide to Good Manufacturing Practice for Medicinal Products PE 009. </w:t>
      </w:r>
      <w:r>
        <w:rPr>
          <w:rFonts w:cs="Times New Roman"/>
          <w:noProof/>
          <w:kern w:val="0"/>
          <w14:ligatures w14:val="none"/>
        </w:rPr>
        <w:t xml:space="preserve">Geneva: PIC/S; current version. </w:t>
      </w:r>
    </w:p>
    <w:p w14:paraId="489A4759" w14:textId="0A2DC397" w:rsidR="00CB351D" w:rsidRPr="00754EC9" w:rsidRDefault="00CB351D" w:rsidP="00754EC9">
      <w:pPr>
        <w:pStyle w:val="ListParagraph"/>
        <w:spacing w:after="0" w:line="240" w:lineRule="auto"/>
        <w:jc w:val="both"/>
        <w:rPr>
          <w:rFonts w:cs="Times New Roman"/>
          <w:noProof/>
          <w:kern w:val="0"/>
          <w14:ligatures w14:val="none"/>
        </w:rPr>
      </w:pPr>
      <w:r>
        <w:rPr>
          <w:rFonts w:cs="Times New Roman"/>
          <w:noProof/>
          <w:kern w:val="0"/>
          <w14:ligatures w14:val="none"/>
        </w:rPr>
        <w:t xml:space="preserve">US Food and Drug Administration. </w:t>
      </w:r>
      <w:r>
        <w:rPr>
          <w:rFonts w:cs="Times New Roman"/>
          <w:bCs/>
          <w:noProof/>
          <w:kern w:val="0"/>
          <w14:ligatures w14:val="none"/>
        </w:rPr>
        <w:t xml:space="preserve">Data Integrity and Compliance With Drug CGMP: Questions and Answers. Guidance for Industry. </w:t>
      </w:r>
      <w:r>
        <w:rPr>
          <w:rFonts w:cs="Times New Roman"/>
          <w:noProof/>
          <w:kern w:val="0"/>
          <w14:ligatures w14:val="none"/>
        </w:rPr>
        <w:t xml:space="preserve">Silver Spring (MD): FDA; 2018. </w:t>
      </w:r>
    </w:p>
    <w:p w14:paraId="61B0092E" w14:textId="412471D6" w:rsidR="00CB351D" w:rsidRPr="00754EC9" w:rsidRDefault="00CB351D" w:rsidP="00754EC9">
      <w:pPr>
        <w:pStyle w:val="ListParagraph"/>
        <w:spacing w:after="0" w:line="240" w:lineRule="auto"/>
        <w:jc w:val="both"/>
        <w:rPr>
          <w:rFonts w:cs="Times New Roman"/>
          <w:noProof/>
          <w:kern w:val="0"/>
          <w14:ligatures w14:val="none"/>
        </w:rPr>
      </w:pPr>
      <w:r>
        <w:rPr>
          <w:rFonts w:cs="Times New Roman"/>
          <w:noProof/>
          <w:kern w:val="0"/>
          <w14:ligatures w14:val="none"/>
        </w:rPr>
        <w:t xml:space="preserve">Medicines and Healthcare products Regulatory Agency. GxP Data Integrity Guidance and Definitions. London: MHRA; 2018. </w:t>
      </w:r>
      <w:r>
        <w:rPr>
          <w:rFonts w:cs="Times New Roman"/>
          <w:bCs/>
          <w:noProof/>
          <w:kern w:val="0"/>
          <w14:ligatures w14:val="none"/>
        </w:rPr>
        <w:t xml:space="preserve">GxP Data Integrity Guidance and Definitions. </w:t>
      </w:r>
      <w:r>
        <w:rPr>
          <w:rFonts w:cs="Times New Roman"/>
          <w:noProof/>
          <w:kern w:val="0"/>
          <w14:ligatures w14:val="none"/>
        </w:rPr>
        <w:t xml:space="preserve">London: MHRA; 2018. </w:t>
      </w:r>
    </w:p>
    <w:p w14:paraId="395D2079" w14:textId="6248D6CC" w:rsidR="00CB351D" w:rsidRPr="00754EC9" w:rsidRDefault="00CB351D" w:rsidP="00754EC9">
      <w:pPr>
        <w:pStyle w:val="ListParagraph"/>
        <w:spacing w:after="0" w:line="240" w:lineRule="auto"/>
        <w:jc w:val="both"/>
        <w:rPr>
          <w:rFonts w:cs="Times New Roman"/>
          <w:noProof/>
          <w:kern w:val="0"/>
          <w14:ligatures w14:val="none"/>
        </w:rPr>
      </w:pPr>
      <w:r>
        <w:rPr>
          <w:rFonts w:cs="Times New Roman"/>
          <w:noProof/>
          <w:kern w:val="0"/>
          <w14:ligatures w14:val="none"/>
        </w:rPr>
        <w:t xml:space="preserve">World Health Organization. Guidance on Good Data and Record Management Practices. Geneva: World Health Organization; 2016.Pharmaceutical Inspection Co-operation Scheme. Good Practices for Data Management and Integrity in Regulated GMP/GDP Environments (PI 041). Geneva: PIC/S; 2021.US Food and Drug Administration. Process Validation: General Principles and Practices. Guidance for Industry. Silver Spring (MD): FDA; 2011.US Food and Drug Administration. PAT—A Framework for Innovative Pharmaceutical Development, Manufacturing, and Quality Assurance. Guidance for Industry. Silver Spring (MD): FDA; 2004.Kishimoto TK, Viswanathan K, Ganguly T, Elankumaran S, Smith S, Pelzer K, et al. Contaminated heparin associated with adverse clinical events and activation of the contacLiu H, Cason P, Wang Y, et al. Impurities in angiotensin receptor blockers: overview of the global nitrosamine issue. J Pharm Sci. 2020;109:3187-99.European Medicines Agency. Nitrosamine impurities in human medicinal products. Amsterdam: European Medicines Agency; 2020.US Food and Drug Administration. Control of Nitrosamine Impurities in Human Drugs. Guidance for Industry. Silver Spring (MD): FDA; 2021.European Medicines Agency. Review of medicines containing ranitidine. Amsterdam: European Medicines Agency; 2020. </w:t>
      </w:r>
      <w:r>
        <w:rPr>
          <w:rFonts w:cs="Times New Roman"/>
          <w:bCs/>
          <w:noProof/>
          <w:kern w:val="0"/>
          <w14:ligatures w14:val="none"/>
        </w:rPr>
        <w:t xml:space="preserve">Guidance on Good Data and Record Management Practices. </w:t>
      </w:r>
      <w:r>
        <w:rPr>
          <w:rFonts w:cs="Times New Roman"/>
          <w:noProof/>
          <w:kern w:val="0"/>
          <w14:ligatures w14:val="none"/>
        </w:rPr>
        <w:t xml:space="preserve">Geneva: World Health Organization; 2016. </w:t>
      </w:r>
    </w:p>
    <w:p w14:paraId="44B397FA" w14:textId="77EEE686" w:rsidR="00CB351D" w:rsidRPr="00754EC9" w:rsidRDefault="00CB351D" w:rsidP="00754EC9">
      <w:pPr>
        <w:pStyle w:val="ListParagraph"/>
        <w:spacing w:after="0" w:line="240" w:lineRule="auto"/>
        <w:jc w:val="both"/>
        <w:rPr>
          <w:rFonts w:cs="Times New Roman"/>
          <w:noProof/>
          <w:kern w:val="0"/>
          <w14:ligatures w14:val="none"/>
        </w:rPr>
      </w:pPr>
      <w:r>
        <w:rPr>
          <w:rFonts w:cs="Times New Roman"/>
          <w:noProof/>
          <w:kern w:val="0"/>
          <w14:ligatures w14:val="none"/>
        </w:rPr>
        <w:t xml:space="preserve">Pharmaceutical Inspection Co-operation Scheme. </w:t>
      </w:r>
      <w:r>
        <w:rPr>
          <w:rFonts w:cs="Times New Roman"/>
          <w:bCs/>
          <w:noProof/>
          <w:kern w:val="0"/>
          <w14:ligatures w14:val="none"/>
        </w:rPr>
        <w:t xml:space="preserve">Good Practices for Data Management and Integrity in Regulated GMP/GDP Environments (PI 041). </w:t>
      </w:r>
      <w:r>
        <w:rPr>
          <w:rFonts w:cs="Times New Roman"/>
          <w:noProof/>
          <w:kern w:val="0"/>
          <w14:ligatures w14:val="none"/>
        </w:rPr>
        <w:t xml:space="preserve">Geneva: PIC/S; 2021. </w:t>
      </w:r>
    </w:p>
    <w:p w14:paraId="38DA1961" w14:textId="73D138DD" w:rsidR="00CB351D" w:rsidRPr="00754EC9" w:rsidRDefault="00CB351D" w:rsidP="00754EC9">
      <w:pPr>
        <w:pStyle w:val="ListParagraph"/>
        <w:spacing w:after="0" w:line="240" w:lineRule="auto"/>
        <w:jc w:val="both"/>
        <w:rPr>
          <w:rFonts w:cs="Times New Roman"/>
          <w:noProof/>
          <w:kern w:val="0"/>
          <w14:ligatures w14:val="none"/>
        </w:rPr>
      </w:pPr>
      <w:r>
        <w:rPr>
          <w:rFonts w:cs="Times New Roman"/>
          <w:noProof/>
          <w:kern w:val="0"/>
          <w14:ligatures w14:val="none"/>
        </w:rPr>
        <w:t xml:space="preserve">US Food and Drug Administration. </w:t>
      </w:r>
      <w:r>
        <w:rPr>
          <w:rFonts w:cs="Times New Roman"/>
          <w:bCs/>
          <w:noProof/>
          <w:kern w:val="0"/>
          <w14:ligatures w14:val="none"/>
        </w:rPr>
        <w:t xml:space="preserve">Process Validation: General Principles and Practices. </w:t>
      </w:r>
      <w:r>
        <w:rPr>
          <w:rFonts w:cs="Times New Roman"/>
          <w:noProof/>
          <w:kern w:val="0"/>
          <w14:ligatures w14:val="none"/>
        </w:rPr>
        <w:t xml:space="preserve">Guidance for Industry. Silver Spring (MD): FDA; 2011. </w:t>
      </w:r>
    </w:p>
    <w:p w14:paraId="220C63A0" w14:textId="3F264992" w:rsidR="00CB351D" w:rsidRPr="00754EC9" w:rsidRDefault="00CB351D" w:rsidP="00754EC9">
      <w:pPr>
        <w:pStyle w:val="ListParagraph"/>
        <w:spacing w:after="0" w:line="240" w:lineRule="auto"/>
        <w:jc w:val="both"/>
        <w:rPr>
          <w:rFonts w:cs="Times New Roman"/>
          <w:noProof/>
          <w:kern w:val="0"/>
          <w14:ligatures w14:val="none"/>
        </w:rPr>
      </w:pPr>
      <w:r>
        <w:rPr>
          <w:rFonts w:cs="Times New Roman"/>
          <w:noProof/>
          <w:kern w:val="0"/>
          <w14:ligatures w14:val="none"/>
        </w:rPr>
        <w:t xml:space="preserve">US Food and Drug Administration. </w:t>
      </w:r>
      <w:r>
        <w:rPr>
          <w:rFonts w:cs="Times New Roman"/>
          <w:bCs/>
          <w:noProof/>
          <w:kern w:val="0"/>
          <w14:ligatures w14:val="none"/>
        </w:rPr>
        <w:t xml:space="preserve">PAT—A Framework for Innovative Pharmaceutical Development, Manufacturing, and Quality Assurance. </w:t>
      </w:r>
      <w:r>
        <w:rPr>
          <w:rFonts w:cs="Times New Roman"/>
          <w:noProof/>
          <w:kern w:val="0"/>
          <w14:ligatures w14:val="none"/>
        </w:rPr>
        <w:t xml:space="preserve">Guidance for Industry. Silver Spring (MD): FDA; 2004. </w:t>
      </w:r>
    </w:p>
    <w:p w14:paraId="5056AC3E" w14:textId="5F103EEF" w:rsidR="00CB351D" w:rsidRPr="00754EC9" w:rsidRDefault="00CB351D" w:rsidP="00754EC9">
      <w:pPr>
        <w:pStyle w:val="ListParagraph"/>
        <w:spacing w:after="0" w:line="240" w:lineRule="auto"/>
        <w:jc w:val="both"/>
        <w:rPr>
          <w:rFonts w:cs="Times New Roman"/>
          <w:noProof/>
          <w:kern w:val="0"/>
          <w14:ligatures w14:val="none"/>
        </w:rPr>
      </w:pPr>
      <w:r>
        <w:rPr>
          <w:rFonts w:cs="Times New Roman"/>
          <w:noProof/>
          <w:kern w:val="0"/>
          <w14:ligatures w14:val="none"/>
        </w:rPr>
        <w:lastRenderedPageBreak/>
        <w:t xml:space="preserve">Kishimoto TK, Viswanathan K, Ganguly T, Elankumaran S, Smith S, Pelzer K, et al. Contaminated heparin associated with adverse clinical events and activation of the contact system. </w:t>
      </w:r>
      <w:r>
        <w:rPr>
          <w:rFonts w:cs="Times New Roman"/>
          <w:bCs/>
          <w:noProof/>
          <w:kern w:val="0"/>
          <w14:ligatures w14:val="none"/>
        </w:rPr>
        <w:t>N Engl J Med.</w:t>
      </w:r>
      <w:r>
        <w:rPr>
          <w:rFonts w:cs="Times New Roman"/>
          <w:noProof/>
          <w:kern w:val="0"/>
          <w14:ligatures w14:val="none"/>
        </w:rPr>
        <w:t xml:space="preserve"> 2008;358(23):2457-67. </w:t>
      </w:r>
    </w:p>
    <w:p w14:paraId="281AAC6D" w14:textId="72A7443D" w:rsidR="00CB351D" w:rsidRPr="00754EC9" w:rsidRDefault="00CB351D" w:rsidP="00754EC9">
      <w:pPr>
        <w:pStyle w:val="ListParagraph"/>
        <w:spacing w:after="0" w:line="240" w:lineRule="auto"/>
        <w:jc w:val="both"/>
        <w:rPr>
          <w:rFonts w:cs="Times New Roman"/>
          <w:noProof/>
          <w:kern w:val="0"/>
          <w14:ligatures w14:val="none"/>
        </w:rPr>
      </w:pPr>
      <w:r>
        <w:rPr>
          <w:rFonts w:cs="Times New Roman"/>
          <w:noProof/>
          <w:kern w:val="0"/>
          <w14:ligatures w14:val="none"/>
        </w:rPr>
        <w:t xml:space="preserve">Liu H, Cason P, Wang Y, et al. Impurities in angiotensin receptor blockers: overview of the global nitrosamine issue. </w:t>
      </w:r>
      <w:r>
        <w:rPr>
          <w:rFonts w:cs="Times New Roman"/>
          <w:bCs/>
          <w:noProof/>
          <w:kern w:val="0"/>
          <w14:ligatures w14:val="none"/>
        </w:rPr>
        <w:t xml:space="preserve">J Pharm Sci. </w:t>
      </w:r>
      <w:r>
        <w:rPr>
          <w:rFonts w:cs="Times New Roman"/>
          <w:noProof/>
          <w:kern w:val="0"/>
          <w14:ligatures w14:val="none"/>
        </w:rPr>
        <w:t xml:space="preserve">2020;109:3187-99. </w:t>
      </w:r>
    </w:p>
    <w:p w14:paraId="2255ACA3" w14:textId="1103D939" w:rsidR="00CB351D" w:rsidRPr="00754EC9" w:rsidRDefault="00CB351D" w:rsidP="00754EC9">
      <w:pPr>
        <w:pStyle w:val="ListParagraph"/>
        <w:spacing w:after="0" w:line="240" w:lineRule="auto"/>
        <w:jc w:val="both"/>
        <w:rPr>
          <w:rFonts w:cs="Times New Roman"/>
          <w:noProof/>
          <w:kern w:val="0"/>
          <w14:ligatures w14:val="none"/>
        </w:rPr>
      </w:pPr>
      <w:r>
        <w:rPr>
          <w:rFonts w:cs="Times New Roman"/>
          <w:noProof/>
          <w:kern w:val="0"/>
          <w14:ligatures w14:val="none"/>
        </w:rPr>
        <w:t xml:space="preserve">European Medicines Agency. </w:t>
      </w:r>
      <w:r>
        <w:rPr>
          <w:rFonts w:cs="Times New Roman"/>
          <w:bCs/>
          <w:noProof/>
          <w:kern w:val="0"/>
          <w14:ligatures w14:val="none"/>
        </w:rPr>
        <w:t xml:space="preserve">Nitrosamine impurities in human medicinal products. </w:t>
      </w:r>
      <w:r>
        <w:rPr>
          <w:rFonts w:cs="Times New Roman"/>
          <w:noProof/>
          <w:kern w:val="0"/>
          <w14:ligatures w14:val="none"/>
        </w:rPr>
        <w:t xml:space="preserve">Amsterdam: European Medicines Agency; 2020. </w:t>
      </w:r>
    </w:p>
    <w:p w14:paraId="4BCCB74A" w14:textId="1C28C663" w:rsidR="00CB351D" w:rsidRPr="00754EC9" w:rsidRDefault="00CB351D" w:rsidP="00754EC9">
      <w:pPr>
        <w:pStyle w:val="ListParagraph"/>
        <w:spacing w:after="0" w:line="240" w:lineRule="auto"/>
        <w:jc w:val="both"/>
        <w:rPr>
          <w:rFonts w:cs="Times New Roman"/>
          <w:noProof/>
          <w:kern w:val="0"/>
          <w14:ligatures w14:val="none"/>
        </w:rPr>
      </w:pPr>
      <w:r>
        <w:rPr>
          <w:rFonts w:cs="Times New Roman"/>
          <w:noProof/>
          <w:kern w:val="0"/>
          <w14:ligatures w14:val="none"/>
        </w:rPr>
        <w:t xml:space="preserve">US Food and Drug Administration. </w:t>
      </w:r>
      <w:r>
        <w:rPr>
          <w:rFonts w:cs="Times New Roman"/>
          <w:bCs/>
          <w:noProof/>
          <w:kern w:val="0"/>
          <w14:ligatures w14:val="none"/>
        </w:rPr>
        <w:t xml:space="preserve">Control of Nitrosamine Impurities in Human Drugs. Guidance for Industry. </w:t>
      </w:r>
      <w:r>
        <w:rPr>
          <w:rFonts w:cs="Times New Roman"/>
          <w:noProof/>
          <w:kern w:val="0"/>
          <w14:ligatures w14:val="none"/>
        </w:rPr>
        <w:t xml:space="preserve">Silver Spring (MD): FDA; 2021. </w:t>
      </w:r>
    </w:p>
    <w:p w14:paraId="07A07611" w14:textId="7BF09D84" w:rsidR="00CB351D" w:rsidRPr="00754EC9" w:rsidRDefault="00CB351D" w:rsidP="00754EC9">
      <w:pPr>
        <w:pStyle w:val="ListParagraph"/>
        <w:spacing w:after="0" w:line="240" w:lineRule="auto"/>
        <w:jc w:val="both"/>
        <w:rPr>
          <w:rFonts w:cs="Times New Roman"/>
          <w:noProof/>
          <w:kern w:val="0"/>
          <w14:ligatures w14:val="none"/>
        </w:rPr>
      </w:pPr>
      <w:r>
        <w:rPr>
          <w:rFonts w:cs="Times New Roman"/>
          <w:noProof/>
          <w:kern w:val="0"/>
          <w14:ligatures w14:val="none"/>
        </w:rPr>
        <w:t xml:space="preserve">European Medicines Agency. </w:t>
      </w:r>
      <w:r>
        <w:rPr>
          <w:rFonts w:cs="Times New Roman"/>
          <w:bCs/>
          <w:noProof/>
          <w:kern w:val="0"/>
          <w14:ligatures w14:val="none"/>
        </w:rPr>
        <w:t xml:space="preserve">Review of medicines containing ranitidine. </w:t>
      </w:r>
      <w:r>
        <w:rPr>
          <w:rFonts w:cs="Times New Roman"/>
          <w:noProof/>
          <w:kern w:val="0"/>
          <w14:ligatures w14:val="none"/>
        </w:rPr>
        <w:t xml:space="preserve">Amsterdam: European Medicines Agency; 2020. </w:t>
      </w:r>
    </w:p>
    <w:p w14:paraId="31DE1808" w14:textId="690C5BB5" w:rsidR="00CB351D" w:rsidRPr="00754EC9" w:rsidRDefault="00CB351D" w:rsidP="00754EC9">
      <w:pPr>
        <w:pStyle w:val="ListParagraph"/>
        <w:spacing w:after="0" w:line="240" w:lineRule="auto"/>
        <w:jc w:val="both"/>
        <w:rPr>
          <w:rFonts w:cs="Times New Roman"/>
          <w:noProof/>
          <w:kern w:val="0"/>
          <w14:ligatures w14:val="none"/>
        </w:rPr>
      </w:pPr>
      <w:r>
        <w:rPr>
          <w:rFonts w:cs="Times New Roman"/>
          <w:noProof/>
          <w:kern w:val="0"/>
          <w14:ligatures w14:val="none"/>
        </w:rPr>
        <w:t xml:space="preserve">European Medicines Agency. Review of valsartan-containing medicines following detection of nitrosamine impurities. Amsterdam: European Medicines Agency; 2018.US Food and Drug Administration. Bupropion Hydrochloride Extended-Release 300 mg: Therapeutic Equivalence Review. Silver Spring (MD): FDA; 2012. </w:t>
      </w:r>
      <w:r>
        <w:rPr>
          <w:rFonts w:cs="Times New Roman"/>
          <w:bCs/>
          <w:noProof/>
          <w:kern w:val="0"/>
          <w14:ligatures w14:val="none"/>
        </w:rPr>
        <w:t xml:space="preserve">Review of valsartan-containing medicines following detection of nitrosamine impurities. </w:t>
      </w:r>
      <w:r>
        <w:rPr>
          <w:rFonts w:cs="Times New Roman"/>
          <w:noProof/>
          <w:kern w:val="0"/>
          <w14:ligatures w14:val="none"/>
        </w:rPr>
        <w:t xml:space="preserve">Amsterdam: European Medicines Agency; 2018. </w:t>
      </w:r>
    </w:p>
    <w:p w14:paraId="304CCB0A" w14:textId="7A9B2004" w:rsidR="00CB351D" w:rsidRPr="00754EC9" w:rsidRDefault="00CB351D" w:rsidP="00754EC9">
      <w:pPr>
        <w:pStyle w:val="ListParagraph"/>
        <w:spacing w:after="0" w:line="240" w:lineRule="auto"/>
        <w:jc w:val="both"/>
        <w:rPr>
          <w:rFonts w:cs="Times New Roman"/>
          <w:noProof/>
          <w:kern w:val="0"/>
          <w14:ligatures w14:val="none"/>
        </w:rPr>
      </w:pPr>
      <w:r>
        <w:rPr>
          <w:rFonts w:cs="Times New Roman"/>
          <w:noProof/>
          <w:kern w:val="0"/>
          <w14:ligatures w14:val="none"/>
        </w:rPr>
        <w:t xml:space="preserve">US Food and Drug Administration. </w:t>
      </w:r>
      <w:r>
        <w:rPr>
          <w:rFonts w:cs="Times New Roman"/>
          <w:bCs/>
          <w:noProof/>
          <w:kern w:val="0"/>
          <w14:ligatures w14:val="none"/>
        </w:rPr>
        <w:t xml:space="preserve">Bupropion Hydrochloride Extended-Release 300 mg: Therapeutic Equivalence Review. </w:t>
      </w:r>
      <w:r>
        <w:rPr>
          <w:rFonts w:cs="Times New Roman"/>
          <w:noProof/>
          <w:kern w:val="0"/>
          <w14:ligatures w14:val="none"/>
        </w:rPr>
        <w:t xml:space="preserve">Silver Spring (MD): FDA; 2012. </w:t>
      </w:r>
    </w:p>
    <w:p w14:paraId="0D161A33" w14:textId="78BA2964" w:rsidR="00CB351D" w:rsidRPr="00754EC9" w:rsidRDefault="00CB351D" w:rsidP="00754EC9">
      <w:pPr>
        <w:pStyle w:val="ListParagraph"/>
        <w:spacing w:after="0" w:line="240" w:lineRule="auto"/>
        <w:jc w:val="both"/>
        <w:rPr>
          <w:rFonts w:cs="Times New Roman"/>
          <w:noProof/>
          <w:kern w:val="0"/>
          <w14:ligatures w14:val="none"/>
        </w:rPr>
      </w:pPr>
      <w:r>
        <w:rPr>
          <w:rFonts w:cs="Times New Roman"/>
          <w:noProof/>
          <w:kern w:val="0"/>
          <w14:ligatures w14:val="none"/>
        </w:rPr>
        <w:t xml:space="preserve">Agence Nationale de Sécurité du Médicament et des Produits de Santé (ANSM). Levothyrox®: Rapport d&amp;#39;évaluation de la nouvelle formulation. Saint-Denis: ANSM; 2018.European Medicines Agency. Suspension of medicines tested by GVK Biosciences. Amsterdam: European Medicines Agency; 2015.European Medicines Agency. Suspension of medicines tested by Synchron Research Services.US Department of Justice. Ranbaxy USA Inc. agrees to pay $500 million to resolve false claims and FDA violations. Washington (DC): US Department of Justice; 2013.Bogdanich W, Eban K. Bottle of Lies: The Inside Story of the Generic Drug Boom. New York: HarperCollins; 2019.Aulton ME, Taylor KMG, editors. Aulton&amp;#39;s Pharmaceutics: The Design and Manufacture of Medicines. 6th ed. London: Elsevier; 2022.Rowe RC, Sheskey PJ, Quinn ME, editors. Handbook of Pharmaceutical Excipients. 9th ed. London: Pharmaceutical Press; 2020.Shargel L, Yu ABC. Applied Biopharmaceutics &amp;amp; Pharmacokinetics. 8th ed. New York: McGraw-Hill; 2022.Brunton LL, Hilal-Dandan R, Knollmann BC, editors. Goodman &amp;amp; Gilman&amp;#39;s The Pharmacological Basis of Therapeutics. 14th ed. New York: McGraw-Hill Education; 2023. </w:t>
      </w:r>
      <w:r>
        <w:rPr>
          <w:rFonts w:cs="Times New Roman"/>
          <w:bCs/>
          <w:noProof/>
          <w:kern w:val="0"/>
          <w14:ligatures w14:val="none"/>
        </w:rPr>
        <w:t xml:space="preserve">Levothyrox®: Rapport d'évaluation de la nouvelle formulation. </w:t>
      </w:r>
      <w:r>
        <w:rPr>
          <w:rFonts w:cs="Times New Roman"/>
          <w:noProof/>
          <w:kern w:val="0"/>
          <w14:ligatures w14:val="none"/>
        </w:rPr>
        <w:t xml:space="preserve">Saint-Denis: ANSM; 2018. </w:t>
      </w:r>
    </w:p>
    <w:p w14:paraId="23F7C8A8" w14:textId="6E3ECA3F" w:rsidR="00CB351D" w:rsidRPr="00754EC9" w:rsidRDefault="00CB351D" w:rsidP="00754EC9">
      <w:pPr>
        <w:pStyle w:val="ListParagraph"/>
        <w:spacing w:after="0" w:line="240" w:lineRule="auto"/>
        <w:jc w:val="both"/>
        <w:rPr>
          <w:rFonts w:cs="Times New Roman"/>
          <w:noProof/>
          <w:kern w:val="0"/>
          <w14:ligatures w14:val="none"/>
        </w:rPr>
      </w:pPr>
      <w:r>
        <w:rPr>
          <w:rFonts w:cs="Times New Roman"/>
          <w:noProof/>
          <w:kern w:val="0"/>
          <w14:ligatures w14:val="none"/>
        </w:rPr>
        <w:t xml:space="preserve">European Medicines Agency. </w:t>
      </w:r>
      <w:r>
        <w:rPr>
          <w:rFonts w:cs="Times New Roman"/>
          <w:bCs/>
          <w:noProof/>
          <w:kern w:val="0"/>
          <w14:ligatures w14:val="none"/>
        </w:rPr>
        <w:t xml:space="preserve">Suspension of medicines tested by GVK Biosciences. </w:t>
      </w:r>
      <w:r>
        <w:rPr>
          <w:rFonts w:cs="Times New Roman"/>
          <w:noProof/>
          <w:kern w:val="0"/>
          <w14:ligatures w14:val="none"/>
        </w:rPr>
        <w:t xml:space="preserve">Amsterdam: European Medicines Agency; 2015. </w:t>
      </w:r>
    </w:p>
    <w:p w14:paraId="73D99C5C" w14:textId="24D6E86F" w:rsidR="00CB351D" w:rsidRPr="00754EC9" w:rsidRDefault="00CB351D" w:rsidP="00754EC9">
      <w:pPr>
        <w:pStyle w:val="ListParagraph"/>
        <w:spacing w:after="0" w:line="240" w:lineRule="auto"/>
        <w:jc w:val="both"/>
        <w:rPr>
          <w:rFonts w:cs="Times New Roman"/>
          <w:noProof/>
          <w:kern w:val="0"/>
          <w14:ligatures w14:val="none"/>
        </w:rPr>
      </w:pPr>
      <w:r>
        <w:rPr>
          <w:rFonts w:cs="Times New Roman"/>
          <w:noProof/>
          <w:kern w:val="0"/>
          <w14:ligatures w14:val="none"/>
        </w:rPr>
        <w:t xml:space="preserve">European Medicines Agency. </w:t>
      </w:r>
      <w:r>
        <w:rPr>
          <w:rFonts w:cs="Times New Roman"/>
          <w:bCs/>
          <w:noProof/>
          <w:kern w:val="0"/>
          <w14:ligatures w14:val="none"/>
        </w:rPr>
        <w:t xml:space="preserve">Suspension of medicines tested by Synchron Research Services. </w:t>
      </w:r>
      <w:r>
        <w:rPr>
          <w:rFonts w:cs="Times New Roman"/>
          <w:noProof/>
          <w:kern w:val="0"/>
          <w14:ligatures w14:val="none"/>
        </w:rPr>
        <w:t xml:space="preserve">Amsterdam: European Medicines Agency; 2016. </w:t>
      </w:r>
    </w:p>
    <w:p w14:paraId="7E5072A0" w14:textId="20569073" w:rsidR="00CB351D" w:rsidRPr="00754EC9" w:rsidRDefault="00CB351D" w:rsidP="00754EC9">
      <w:pPr>
        <w:pStyle w:val="ListParagraph"/>
        <w:spacing w:after="0" w:line="240" w:lineRule="auto"/>
        <w:jc w:val="both"/>
        <w:rPr>
          <w:rFonts w:cs="Times New Roman"/>
          <w:noProof/>
          <w:kern w:val="0"/>
          <w14:ligatures w14:val="none"/>
        </w:rPr>
      </w:pPr>
      <w:r>
        <w:rPr>
          <w:rFonts w:cs="Times New Roman"/>
          <w:noProof/>
          <w:kern w:val="0"/>
          <w14:ligatures w14:val="none"/>
        </w:rPr>
        <w:t xml:space="preserve">US Department of Justice. </w:t>
      </w:r>
      <w:r>
        <w:rPr>
          <w:rFonts w:cs="Times New Roman"/>
          <w:bCs/>
          <w:noProof/>
          <w:kern w:val="0"/>
          <w14:ligatures w14:val="none"/>
        </w:rPr>
        <w:t xml:space="preserve">Ranbaxy USA Inc. agrees to pay $500 million to resolve false claims and FDA violations. </w:t>
      </w:r>
      <w:r>
        <w:rPr>
          <w:rFonts w:cs="Times New Roman"/>
          <w:noProof/>
          <w:kern w:val="0"/>
          <w14:ligatures w14:val="none"/>
        </w:rPr>
        <w:t xml:space="preserve">Washington (DC): US Department of Justice; 2013. </w:t>
      </w:r>
    </w:p>
    <w:p w14:paraId="6F4A520B" w14:textId="15DD25EB" w:rsidR="00CB351D" w:rsidRPr="00754EC9" w:rsidRDefault="00CB351D" w:rsidP="00754EC9">
      <w:pPr>
        <w:pStyle w:val="ListParagraph"/>
        <w:spacing w:after="0" w:line="240" w:lineRule="auto"/>
        <w:jc w:val="both"/>
        <w:rPr>
          <w:rFonts w:cs="Times New Roman"/>
          <w:noProof/>
          <w:kern w:val="0"/>
          <w14:ligatures w14:val="none"/>
        </w:rPr>
      </w:pPr>
      <w:r>
        <w:rPr>
          <w:rFonts w:cs="Times New Roman"/>
          <w:noProof/>
          <w:kern w:val="0"/>
          <w14:ligatures w14:val="none"/>
        </w:rPr>
        <w:t xml:space="preserve">Bogdanich W, Eban K. </w:t>
      </w:r>
      <w:r>
        <w:rPr>
          <w:rFonts w:cs="Times New Roman"/>
          <w:bCs/>
          <w:noProof/>
          <w:kern w:val="0"/>
          <w14:ligatures w14:val="none"/>
        </w:rPr>
        <w:t xml:space="preserve">Bottle of Lies: The Inside Story of the Generic Drug Boom. </w:t>
      </w:r>
      <w:r>
        <w:rPr>
          <w:rFonts w:cs="Times New Roman"/>
          <w:noProof/>
          <w:kern w:val="0"/>
          <w14:ligatures w14:val="none"/>
        </w:rPr>
        <w:t xml:space="preserve">New York: HarperCollins; 2019. </w:t>
      </w:r>
    </w:p>
    <w:p w14:paraId="113A5BD2" w14:textId="1389B435" w:rsidR="00CB351D" w:rsidRPr="00754EC9" w:rsidRDefault="00CB351D" w:rsidP="00754EC9">
      <w:pPr>
        <w:pStyle w:val="ListParagraph"/>
        <w:spacing w:after="0" w:line="240" w:lineRule="auto"/>
        <w:jc w:val="both"/>
        <w:rPr>
          <w:rFonts w:cs="Times New Roman"/>
          <w:noProof/>
          <w:kern w:val="0"/>
          <w14:ligatures w14:val="none"/>
        </w:rPr>
      </w:pPr>
      <w:r>
        <w:rPr>
          <w:rFonts w:cs="Times New Roman"/>
          <w:noProof/>
          <w:kern w:val="0"/>
          <w14:ligatures w14:val="none"/>
        </w:rPr>
        <w:t xml:space="preserve">Aulton ME, Taylor KMG, editors. </w:t>
      </w:r>
      <w:r>
        <w:rPr>
          <w:rFonts w:cs="Times New Roman"/>
          <w:bCs/>
          <w:noProof/>
          <w:kern w:val="0"/>
          <w14:ligatures w14:val="none"/>
        </w:rPr>
        <w:t xml:space="preserve">Aulton's Pharmaceutics: The Design and Manufacture of Medicines. </w:t>
      </w:r>
      <w:r>
        <w:rPr>
          <w:rFonts w:cs="Times New Roman"/>
          <w:noProof/>
          <w:kern w:val="0"/>
          <w14:ligatures w14:val="none"/>
        </w:rPr>
        <w:t xml:space="preserve">6th ed. London: Elsevier; 2022. </w:t>
      </w:r>
    </w:p>
    <w:p w14:paraId="06E14974" w14:textId="588D4A6D" w:rsidR="00CB351D" w:rsidRPr="00754EC9" w:rsidRDefault="00CB351D" w:rsidP="00754EC9">
      <w:pPr>
        <w:pStyle w:val="ListParagraph"/>
        <w:spacing w:after="0" w:line="240" w:lineRule="auto"/>
        <w:jc w:val="both"/>
        <w:rPr>
          <w:rFonts w:cs="Times New Roman"/>
          <w:noProof/>
          <w:kern w:val="0"/>
          <w14:ligatures w14:val="none"/>
        </w:rPr>
      </w:pPr>
      <w:r>
        <w:rPr>
          <w:rFonts w:cs="Times New Roman"/>
          <w:noProof/>
          <w:kern w:val="0"/>
          <w14:ligatures w14:val="none"/>
        </w:rPr>
        <w:lastRenderedPageBreak/>
        <w:t xml:space="preserve">Rowe RC, Sheskey PJ, Quinn ME, editors. </w:t>
      </w:r>
      <w:r>
        <w:rPr>
          <w:rFonts w:cs="Times New Roman"/>
          <w:bCs/>
          <w:noProof/>
          <w:kern w:val="0"/>
          <w14:ligatures w14:val="none"/>
        </w:rPr>
        <w:t xml:space="preserve">Handbook of Pharmaceutical Excipients. </w:t>
      </w:r>
      <w:r>
        <w:rPr>
          <w:rFonts w:cs="Times New Roman"/>
          <w:noProof/>
          <w:kern w:val="0"/>
          <w14:ligatures w14:val="none"/>
        </w:rPr>
        <w:t xml:space="preserve">9th ed. London: Pharmaceutical Press; 2020. </w:t>
      </w:r>
    </w:p>
    <w:p w14:paraId="0BCBA988" w14:textId="3C3283BC" w:rsidR="00CB351D" w:rsidRPr="00754EC9" w:rsidRDefault="00CB351D" w:rsidP="00754EC9">
      <w:pPr>
        <w:pStyle w:val="ListParagraph"/>
        <w:spacing w:after="0" w:line="240" w:lineRule="auto"/>
        <w:jc w:val="both"/>
        <w:rPr>
          <w:rFonts w:cs="Times New Roman"/>
          <w:noProof/>
          <w:kern w:val="0"/>
          <w14:ligatures w14:val="none"/>
        </w:rPr>
      </w:pPr>
      <w:r>
        <w:rPr>
          <w:rFonts w:cs="Times New Roman"/>
          <w:noProof/>
          <w:kern w:val="0"/>
          <w14:ligatures w14:val="none"/>
        </w:rPr>
        <w:t xml:space="preserve">Shargel L, Yu ABC. </w:t>
      </w:r>
      <w:r>
        <w:rPr>
          <w:rFonts w:cs="Times New Roman"/>
          <w:bCs/>
          <w:noProof/>
          <w:kern w:val="0"/>
          <w14:ligatures w14:val="none"/>
        </w:rPr>
        <w:t xml:space="preserve">Applied Biopharmaceutics &amp; Pharmacokinetics. </w:t>
      </w:r>
      <w:r>
        <w:rPr>
          <w:rFonts w:cs="Times New Roman"/>
          <w:noProof/>
          <w:kern w:val="0"/>
          <w14:ligatures w14:val="none"/>
        </w:rPr>
        <w:t xml:space="preserve">8th ed. New York: McGraw-Hill; 2022. </w:t>
      </w:r>
    </w:p>
    <w:p w14:paraId="1F337756" w14:textId="1B2E5841" w:rsidR="00CB351D" w:rsidRPr="00754EC9" w:rsidRDefault="00CB351D" w:rsidP="00754EC9">
      <w:pPr>
        <w:pStyle w:val="ListParagraph"/>
        <w:spacing w:after="0" w:line="240" w:lineRule="auto"/>
        <w:jc w:val="both"/>
        <w:rPr>
          <w:rFonts w:cs="Times New Roman"/>
          <w:noProof/>
          <w:kern w:val="0"/>
          <w14:ligatures w14:val="none"/>
        </w:rPr>
      </w:pPr>
      <w:r>
        <w:rPr>
          <w:rFonts w:cs="Times New Roman"/>
          <w:noProof/>
          <w:kern w:val="0"/>
          <w14:ligatures w14:val="none"/>
        </w:rPr>
        <w:t xml:space="preserve">Brunton LL, Hilal-Dandan R, Knollmann BC, editors. </w:t>
      </w:r>
      <w:r>
        <w:rPr>
          <w:rFonts w:cs="Times New Roman"/>
          <w:bCs/>
          <w:noProof/>
          <w:kern w:val="0"/>
          <w14:ligatures w14:val="none"/>
        </w:rPr>
        <w:t xml:space="preserve">Goodman &amp; Gilman's The Pharmacological Basis of Therapeutics. </w:t>
      </w:r>
      <w:r>
        <w:rPr>
          <w:rFonts w:cs="Times New Roman"/>
          <w:noProof/>
          <w:kern w:val="0"/>
          <w14:ligatures w14:val="none"/>
        </w:rPr>
        <w:t xml:space="preserve">14th ed. New York: McGraw-Hill Education; 2023. </w:t>
      </w:r>
    </w:p>
    <w:p w14:paraId="1475E92C" w14:textId="439534DC" w:rsidR="0055500F" w:rsidRPr="00754EC9" w:rsidRDefault="00CB351D" w:rsidP="00754EC9">
      <w:pPr>
        <w:pStyle w:val="ListParagraph"/>
        <w:spacing w:before="100" w:beforeAutospacing="1" w:after="100" w:afterAutospacing="1" w:line="240" w:lineRule="auto"/>
        <w:jc w:val="both"/>
        <w:rPr>
          <w:noProof/>
        </w:rPr>
      </w:pPr>
      <w:r>
        <w:rPr>
          <w:rFonts w:cs="Times New Roman"/>
          <w:noProof/>
          <w:kern w:val="0"/>
          <w14:ligatures w14:val="none"/>
        </w:rPr>
        <w:t xml:space="preserve">Türkiye İlaç ve Tıbbi Cihaz Kurumu. Biyoeşdeğerlik Kılavuzu. Ankara: TİTCK; güncel sürüm. </w:t>
      </w:r>
      <w:r>
        <w:rPr>
          <w:rFonts w:cs="Times New Roman"/>
          <w:bCs/>
          <w:noProof/>
          <w:kern w:val="0"/>
          <w14:ligatures w14:val="none"/>
        </w:rPr>
        <w:t xml:space="preserve">Biyoeşdeğerlik Kılavuzu. </w:t>
      </w:r>
      <w:r>
        <w:rPr>
          <w:rFonts w:cs="Times New Roman"/>
          <w:noProof/>
          <w:kern w:val="0"/>
          <w14:ligatures w14:val="none"/>
        </w:rPr>
        <w:t>Ankara: TİTCK; güncel sürüm.</w:t>
      </w:r>
      <w:r w:rsidR="003B7F0A">
        <w:rPr>
          <w:rFonts w:cs="Times New Roman"/>
          <w:noProof/>
          <w:kern w:val="0"/>
          <w14:ligatures w14:val="none"/>
        </w:rPr>
        <w:t xml:space="preserve"> 2022</w:t>
      </w:r>
    </w:p>
    <w:p w14:paraId="0A7F090A" w14:textId="6AFC4EDB" w:rsidR="004E399A" w:rsidRDefault="00000000">
      <w:pPr>
        <w:spacing w:after="80"/>
        <w:jc w:val="both"/>
        <w:rPr>
          <w:i/>
        </w:rPr>
      </w:pPr>
      <w:r>
        <w:rPr>
          <w:b/>
        </w:rPr>
        <w:t xml:space="preserve">Not: </w:t>
      </w:r>
      <w:r>
        <w:rPr>
          <w:i/>
        </w:rPr>
        <w:t xml:space="preserve">Bu yazının hazırlanmasında yapay zekâ (AI) desteği alınmıştır. </w:t>
      </w:r>
    </w:p>
    <w:p w14:paraId="2219206B" w14:textId="02BE3CDC" w:rsidR="00C44F52" w:rsidRDefault="00C44F52">
      <w:pPr>
        <w:spacing w:after="80"/>
        <w:jc w:val="both"/>
      </w:pPr>
    </w:p>
    <w:sectPr w:rsidR="00C44F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0875"/>
    <w:multiLevelType w:val="multilevel"/>
    <w:tmpl w:val="2E92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D735F"/>
    <w:multiLevelType w:val="multilevel"/>
    <w:tmpl w:val="89E20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91053"/>
    <w:multiLevelType w:val="hybridMultilevel"/>
    <w:tmpl w:val="DDDE13AE"/>
    <w:lvl w:ilvl="0" w:tplc="3EB072DA">
      <w:start w:val="1"/>
      <w:numFmt w:val="bullet"/>
      <w:lvlText w:val="●"/>
      <w:lvlJc w:val="left"/>
      <w:pPr>
        <w:ind w:left="720" w:hanging="360"/>
      </w:pPr>
    </w:lvl>
    <w:lvl w:ilvl="1" w:tplc="8ADC7A10">
      <w:start w:val="1"/>
      <w:numFmt w:val="bullet"/>
      <w:lvlText w:val="○"/>
      <w:lvlJc w:val="left"/>
      <w:pPr>
        <w:ind w:left="1440" w:hanging="360"/>
      </w:pPr>
    </w:lvl>
    <w:lvl w:ilvl="2" w:tplc="25184C88">
      <w:start w:val="1"/>
      <w:numFmt w:val="bullet"/>
      <w:lvlText w:val="■"/>
      <w:lvlJc w:val="left"/>
      <w:pPr>
        <w:ind w:left="2160" w:hanging="360"/>
      </w:pPr>
    </w:lvl>
    <w:lvl w:ilvl="3" w:tplc="89945774">
      <w:start w:val="1"/>
      <w:numFmt w:val="bullet"/>
      <w:lvlText w:val="●"/>
      <w:lvlJc w:val="left"/>
      <w:pPr>
        <w:ind w:left="2880" w:hanging="360"/>
      </w:pPr>
    </w:lvl>
    <w:lvl w:ilvl="4" w:tplc="5B7AB1AE">
      <w:start w:val="1"/>
      <w:numFmt w:val="bullet"/>
      <w:lvlText w:val="○"/>
      <w:lvlJc w:val="left"/>
      <w:pPr>
        <w:ind w:left="3600" w:hanging="360"/>
      </w:pPr>
    </w:lvl>
    <w:lvl w:ilvl="5" w:tplc="DCFC49AA">
      <w:start w:val="1"/>
      <w:numFmt w:val="bullet"/>
      <w:lvlText w:val="■"/>
      <w:lvlJc w:val="left"/>
      <w:pPr>
        <w:ind w:left="4320" w:hanging="360"/>
      </w:pPr>
    </w:lvl>
    <w:lvl w:ilvl="6" w:tplc="6F1CE082">
      <w:start w:val="1"/>
      <w:numFmt w:val="bullet"/>
      <w:lvlText w:val="●"/>
      <w:lvlJc w:val="left"/>
      <w:pPr>
        <w:ind w:left="5040" w:hanging="360"/>
      </w:pPr>
    </w:lvl>
    <w:lvl w:ilvl="7" w:tplc="718A160C">
      <w:start w:val="1"/>
      <w:numFmt w:val="bullet"/>
      <w:lvlText w:val="●"/>
      <w:lvlJc w:val="left"/>
      <w:pPr>
        <w:ind w:left="5760" w:hanging="360"/>
      </w:pPr>
    </w:lvl>
    <w:lvl w:ilvl="8" w:tplc="1F5A317A">
      <w:start w:val="1"/>
      <w:numFmt w:val="bullet"/>
      <w:lvlText w:val="●"/>
      <w:lvlJc w:val="left"/>
      <w:pPr>
        <w:ind w:left="6480" w:hanging="360"/>
      </w:pPr>
    </w:lvl>
  </w:abstractNum>
  <w:abstractNum w:abstractNumId="3" w15:restartNumberingAfterBreak="0">
    <w:nsid w:val="06DA06EE"/>
    <w:multiLevelType w:val="multilevel"/>
    <w:tmpl w:val="24DED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556A1B"/>
    <w:multiLevelType w:val="multilevel"/>
    <w:tmpl w:val="D958A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9B71A0"/>
    <w:multiLevelType w:val="multilevel"/>
    <w:tmpl w:val="BF2EC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C16494"/>
    <w:multiLevelType w:val="multilevel"/>
    <w:tmpl w:val="7D2EE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EA03E3"/>
    <w:multiLevelType w:val="multilevel"/>
    <w:tmpl w:val="8A5C8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961A9D"/>
    <w:multiLevelType w:val="multilevel"/>
    <w:tmpl w:val="77CE7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3F51FA"/>
    <w:multiLevelType w:val="multilevel"/>
    <w:tmpl w:val="48E6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05641E"/>
    <w:multiLevelType w:val="multilevel"/>
    <w:tmpl w:val="62049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A36F18"/>
    <w:multiLevelType w:val="multilevel"/>
    <w:tmpl w:val="844CD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994977"/>
    <w:multiLevelType w:val="multilevel"/>
    <w:tmpl w:val="4CDAB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E241E9"/>
    <w:multiLevelType w:val="multilevel"/>
    <w:tmpl w:val="73BC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353C02"/>
    <w:multiLevelType w:val="multilevel"/>
    <w:tmpl w:val="D06C7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0033D4"/>
    <w:multiLevelType w:val="multilevel"/>
    <w:tmpl w:val="1BAAA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842488"/>
    <w:multiLevelType w:val="multilevel"/>
    <w:tmpl w:val="3C120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521CF4"/>
    <w:multiLevelType w:val="multilevel"/>
    <w:tmpl w:val="F5BC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F460FF"/>
    <w:multiLevelType w:val="multilevel"/>
    <w:tmpl w:val="E5966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B714E4"/>
    <w:multiLevelType w:val="multilevel"/>
    <w:tmpl w:val="228C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7F2F46"/>
    <w:multiLevelType w:val="multilevel"/>
    <w:tmpl w:val="976A4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3678EA"/>
    <w:multiLevelType w:val="multilevel"/>
    <w:tmpl w:val="FEA0F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08D4FD2"/>
    <w:multiLevelType w:val="multilevel"/>
    <w:tmpl w:val="C16E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F42568"/>
    <w:multiLevelType w:val="multilevel"/>
    <w:tmpl w:val="963E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DA764D"/>
    <w:multiLevelType w:val="multilevel"/>
    <w:tmpl w:val="5E3A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D222CE"/>
    <w:multiLevelType w:val="multilevel"/>
    <w:tmpl w:val="F82AF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511B8A"/>
    <w:multiLevelType w:val="multilevel"/>
    <w:tmpl w:val="47F2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A10D87"/>
    <w:multiLevelType w:val="multilevel"/>
    <w:tmpl w:val="2BBAC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631473"/>
    <w:multiLevelType w:val="multilevel"/>
    <w:tmpl w:val="5656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5B08DB"/>
    <w:multiLevelType w:val="multilevel"/>
    <w:tmpl w:val="DE54F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E4633C"/>
    <w:multiLevelType w:val="multilevel"/>
    <w:tmpl w:val="98382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171F3F"/>
    <w:multiLevelType w:val="multilevel"/>
    <w:tmpl w:val="B23E6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E011E2"/>
    <w:multiLevelType w:val="multilevel"/>
    <w:tmpl w:val="5EE0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5C4F52"/>
    <w:multiLevelType w:val="multilevel"/>
    <w:tmpl w:val="95E8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370E0F"/>
    <w:multiLevelType w:val="multilevel"/>
    <w:tmpl w:val="2A3E0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811F4C"/>
    <w:multiLevelType w:val="multilevel"/>
    <w:tmpl w:val="BD68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864EBA"/>
    <w:multiLevelType w:val="multilevel"/>
    <w:tmpl w:val="F9DE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07211B"/>
    <w:multiLevelType w:val="multilevel"/>
    <w:tmpl w:val="7AFA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893484"/>
    <w:multiLevelType w:val="multilevel"/>
    <w:tmpl w:val="C298D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3E1BE5"/>
    <w:multiLevelType w:val="multilevel"/>
    <w:tmpl w:val="A68A7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E2767A"/>
    <w:multiLevelType w:val="multilevel"/>
    <w:tmpl w:val="F6442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190CA9"/>
    <w:multiLevelType w:val="multilevel"/>
    <w:tmpl w:val="A768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0443B2"/>
    <w:multiLevelType w:val="multilevel"/>
    <w:tmpl w:val="99001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5188746">
    <w:abstractNumId w:val="17"/>
  </w:num>
  <w:num w:numId="2" w16cid:durableId="970400087">
    <w:abstractNumId w:val="19"/>
  </w:num>
  <w:num w:numId="3" w16cid:durableId="877592841">
    <w:abstractNumId w:val="16"/>
  </w:num>
  <w:num w:numId="4" w16cid:durableId="18624885">
    <w:abstractNumId w:val="37"/>
  </w:num>
  <w:num w:numId="5" w16cid:durableId="1494949700">
    <w:abstractNumId w:val="0"/>
  </w:num>
  <w:num w:numId="6" w16cid:durableId="748698008">
    <w:abstractNumId w:val="14"/>
  </w:num>
  <w:num w:numId="7" w16cid:durableId="676731603">
    <w:abstractNumId w:val="29"/>
  </w:num>
  <w:num w:numId="8" w16cid:durableId="1655136166">
    <w:abstractNumId w:val="26"/>
  </w:num>
  <w:num w:numId="9" w16cid:durableId="231816865">
    <w:abstractNumId w:val="15"/>
  </w:num>
  <w:num w:numId="10" w16cid:durableId="366569851">
    <w:abstractNumId w:val="32"/>
  </w:num>
  <w:num w:numId="11" w16cid:durableId="260375942">
    <w:abstractNumId w:val="34"/>
  </w:num>
  <w:num w:numId="12" w16cid:durableId="2134790466">
    <w:abstractNumId w:val="31"/>
  </w:num>
  <w:num w:numId="13" w16cid:durableId="1527328496">
    <w:abstractNumId w:val="24"/>
  </w:num>
  <w:num w:numId="14" w16cid:durableId="557059489">
    <w:abstractNumId w:val="28"/>
  </w:num>
  <w:num w:numId="15" w16cid:durableId="1925914283">
    <w:abstractNumId w:val="3"/>
  </w:num>
  <w:num w:numId="16" w16cid:durableId="1282570143">
    <w:abstractNumId w:val="27"/>
  </w:num>
  <w:num w:numId="17" w16cid:durableId="1569803015">
    <w:abstractNumId w:val="30"/>
  </w:num>
  <w:num w:numId="18" w16cid:durableId="83115150">
    <w:abstractNumId w:val="9"/>
  </w:num>
  <w:num w:numId="19" w16cid:durableId="108790799">
    <w:abstractNumId w:val="6"/>
  </w:num>
  <w:num w:numId="20" w16cid:durableId="303395242">
    <w:abstractNumId w:val="39"/>
  </w:num>
  <w:num w:numId="21" w16cid:durableId="953900716">
    <w:abstractNumId w:val="33"/>
  </w:num>
  <w:num w:numId="22" w16cid:durableId="279840423">
    <w:abstractNumId w:val="22"/>
  </w:num>
  <w:num w:numId="23" w16cid:durableId="924068305">
    <w:abstractNumId w:val="40"/>
  </w:num>
  <w:num w:numId="24" w16cid:durableId="539511489">
    <w:abstractNumId w:val="38"/>
  </w:num>
  <w:num w:numId="25" w16cid:durableId="703561159">
    <w:abstractNumId w:val="12"/>
  </w:num>
  <w:num w:numId="26" w16cid:durableId="1018241683">
    <w:abstractNumId w:val="7"/>
  </w:num>
  <w:num w:numId="27" w16cid:durableId="1467166250">
    <w:abstractNumId w:val="4"/>
  </w:num>
  <w:num w:numId="28" w16cid:durableId="748891880">
    <w:abstractNumId w:val="25"/>
  </w:num>
  <w:num w:numId="29" w16cid:durableId="245261849">
    <w:abstractNumId w:val="41"/>
  </w:num>
  <w:num w:numId="30" w16cid:durableId="2089644624">
    <w:abstractNumId w:val="8"/>
  </w:num>
  <w:num w:numId="31" w16cid:durableId="1862015077">
    <w:abstractNumId w:val="20"/>
  </w:num>
  <w:num w:numId="32" w16cid:durableId="1838156400">
    <w:abstractNumId w:val="10"/>
  </w:num>
  <w:num w:numId="33" w16cid:durableId="1363827097">
    <w:abstractNumId w:val="5"/>
  </w:num>
  <w:num w:numId="34" w16cid:durableId="906571019">
    <w:abstractNumId w:val="42"/>
  </w:num>
  <w:num w:numId="35" w16cid:durableId="1115368250">
    <w:abstractNumId w:val="35"/>
  </w:num>
  <w:num w:numId="36" w16cid:durableId="2087072592">
    <w:abstractNumId w:val="11"/>
  </w:num>
  <w:num w:numId="37" w16cid:durableId="2022924020">
    <w:abstractNumId w:val="21"/>
  </w:num>
  <w:num w:numId="38" w16cid:durableId="212274383">
    <w:abstractNumId w:val="23"/>
  </w:num>
  <w:num w:numId="39" w16cid:durableId="1861507004">
    <w:abstractNumId w:val="13"/>
  </w:num>
  <w:num w:numId="40" w16cid:durableId="1631476015">
    <w:abstractNumId w:val="1"/>
  </w:num>
  <w:num w:numId="41" w16cid:durableId="254631344">
    <w:abstractNumId w:val="18"/>
  </w:num>
  <w:num w:numId="42" w16cid:durableId="1191067437">
    <w:abstractNumId w:val="36"/>
  </w:num>
  <w:num w:numId="43" w16cid:durableId="8279828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AEB"/>
    <w:rsid w:val="00021F41"/>
    <w:rsid w:val="000509E8"/>
    <w:rsid w:val="0005306E"/>
    <w:rsid w:val="0007071B"/>
    <w:rsid w:val="00071076"/>
    <w:rsid w:val="0007603F"/>
    <w:rsid w:val="0009492C"/>
    <w:rsid w:val="000E2E89"/>
    <w:rsid w:val="00132C86"/>
    <w:rsid w:val="0014624E"/>
    <w:rsid w:val="001514E2"/>
    <w:rsid w:val="0016627E"/>
    <w:rsid w:val="00172958"/>
    <w:rsid w:val="00190825"/>
    <w:rsid w:val="001B60C9"/>
    <w:rsid w:val="001C657E"/>
    <w:rsid w:val="002066F0"/>
    <w:rsid w:val="002159E7"/>
    <w:rsid w:val="0023491B"/>
    <w:rsid w:val="00246B37"/>
    <w:rsid w:val="002A337D"/>
    <w:rsid w:val="003303D7"/>
    <w:rsid w:val="00333BFE"/>
    <w:rsid w:val="00374B86"/>
    <w:rsid w:val="003A6750"/>
    <w:rsid w:val="003B7F0A"/>
    <w:rsid w:val="003C42A5"/>
    <w:rsid w:val="0042344C"/>
    <w:rsid w:val="00477DA2"/>
    <w:rsid w:val="00493FF2"/>
    <w:rsid w:val="004A3501"/>
    <w:rsid w:val="004C310E"/>
    <w:rsid w:val="004E399A"/>
    <w:rsid w:val="004F7A36"/>
    <w:rsid w:val="00544D74"/>
    <w:rsid w:val="0055500F"/>
    <w:rsid w:val="00563185"/>
    <w:rsid w:val="005E2832"/>
    <w:rsid w:val="005F6557"/>
    <w:rsid w:val="0062449E"/>
    <w:rsid w:val="0063109E"/>
    <w:rsid w:val="006328D9"/>
    <w:rsid w:val="00636B8D"/>
    <w:rsid w:val="00697B51"/>
    <w:rsid w:val="006A7F9F"/>
    <w:rsid w:val="006B10B9"/>
    <w:rsid w:val="006E1AA7"/>
    <w:rsid w:val="00701E93"/>
    <w:rsid w:val="00711219"/>
    <w:rsid w:val="00720DC7"/>
    <w:rsid w:val="00754EC9"/>
    <w:rsid w:val="007755E8"/>
    <w:rsid w:val="007953ED"/>
    <w:rsid w:val="0079732A"/>
    <w:rsid w:val="007C28F9"/>
    <w:rsid w:val="007E1029"/>
    <w:rsid w:val="007E3D26"/>
    <w:rsid w:val="00801023"/>
    <w:rsid w:val="0081657F"/>
    <w:rsid w:val="008655B7"/>
    <w:rsid w:val="00870B5E"/>
    <w:rsid w:val="008A23BC"/>
    <w:rsid w:val="008C7452"/>
    <w:rsid w:val="0091117A"/>
    <w:rsid w:val="00924FB0"/>
    <w:rsid w:val="00A50DE0"/>
    <w:rsid w:val="00A5329B"/>
    <w:rsid w:val="00A61F04"/>
    <w:rsid w:val="00A747B0"/>
    <w:rsid w:val="00AC4D6C"/>
    <w:rsid w:val="00B06750"/>
    <w:rsid w:val="00B2041B"/>
    <w:rsid w:val="00B23063"/>
    <w:rsid w:val="00B46450"/>
    <w:rsid w:val="00B63512"/>
    <w:rsid w:val="00B66581"/>
    <w:rsid w:val="00B9765E"/>
    <w:rsid w:val="00C17F96"/>
    <w:rsid w:val="00C317BD"/>
    <w:rsid w:val="00C415A7"/>
    <w:rsid w:val="00C44F52"/>
    <w:rsid w:val="00CA0E94"/>
    <w:rsid w:val="00CB0CB9"/>
    <w:rsid w:val="00CB351D"/>
    <w:rsid w:val="00CC1BDF"/>
    <w:rsid w:val="00CE68AE"/>
    <w:rsid w:val="00CF5708"/>
    <w:rsid w:val="00CF5998"/>
    <w:rsid w:val="00D26852"/>
    <w:rsid w:val="00D33F43"/>
    <w:rsid w:val="00D402DB"/>
    <w:rsid w:val="00D75511"/>
    <w:rsid w:val="00D86775"/>
    <w:rsid w:val="00D86FAE"/>
    <w:rsid w:val="00D87D6B"/>
    <w:rsid w:val="00DD274C"/>
    <w:rsid w:val="00DF1BC2"/>
    <w:rsid w:val="00E5229D"/>
    <w:rsid w:val="00E55AEB"/>
    <w:rsid w:val="00E73539"/>
    <w:rsid w:val="00E93B91"/>
    <w:rsid w:val="00E952B8"/>
    <w:rsid w:val="00ED50A6"/>
    <w:rsid w:val="00EF71DF"/>
    <w:rsid w:val="00F7400F"/>
    <w:rsid w:val="00F91401"/>
    <w:rsid w:val="00FB2317"/>
    <w:rsid w:val="00FD608D"/>
    <w:rsid w:val="00FE6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A0A11"/>
  <w15:chartTrackingRefBased/>
  <w15:docId w15:val="{E7E6E0DF-9B87-2E42-9176-D642507D4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lang w:val="tr-TR"/>
    </w:rPr>
  </w:style>
  <w:style w:type="paragraph" w:styleId="Heading1">
    <w:name w:val="heading 1"/>
    <w:basedOn w:val="Normal"/>
    <w:next w:val="Normal"/>
    <w:link w:val="Heading1Char"/>
    <w:uiPriority w:val="9"/>
    <w:qFormat/>
    <w:rsid w:val="00E55A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55A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55A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5A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5A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5A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5A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5A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5A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AEB"/>
    <w:rPr>
      <w:rFonts w:asciiTheme="majorHAnsi" w:eastAsiaTheme="majorEastAsia" w:hAnsiTheme="majorHAnsi" w:cstheme="majorBidi"/>
      <w:noProof/>
      <w:color w:val="0F4761" w:themeColor="accent1" w:themeShade="BF"/>
      <w:sz w:val="40"/>
      <w:szCs w:val="40"/>
      <w:lang w:val="tr-TR"/>
    </w:rPr>
  </w:style>
  <w:style w:type="character" w:customStyle="1" w:styleId="Heading2Char">
    <w:name w:val="Heading 2 Char"/>
    <w:basedOn w:val="DefaultParagraphFont"/>
    <w:link w:val="Heading2"/>
    <w:uiPriority w:val="9"/>
    <w:rsid w:val="00E55AEB"/>
    <w:rPr>
      <w:rFonts w:asciiTheme="majorHAnsi" w:eastAsiaTheme="majorEastAsia" w:hAnsiTheme="majorHAnsi" w:cstheme="majorBidi"/>
      <w:noProof/>
      <w:color w:val="0F4761" w:themeColor="accent1" w:themeShade="BF"/>
      <w:sz w:val="32"/>
      <w:szCs w:val="32"/>
      <w:lang w:val="tr-TR"/>
    </w:rPr>
  </w:style>
  <w:style w:type="character" w:customStyle="1" w:styleId="Heading3Char">
    <w:name w:val="Heading 3 Char"/>
    <w:basedOn w:val="DefaultParagraphFont"/>
    <w:link w:val="Heading3"/>
    <w:uiPriority w:val="9"/>
    <w:rsid w:val="00E55AEB"/>
    <w:rPr>
      <w:rFonts w:eastAsiaTheme="majorEastAsia" w:cstheme="majorBidi"/>
      <w:noProof/>
      <w:color w:val="0F4761" w:themeColor="accent1" w:themeShade="BF"/>
      <w:sz w:val="28"/>
      <w:szCs w:val="28"/>
      <w:lang w:val="tr-TR"/>
    </w:rPr>
  </w:style>
  <w:style w:type="character" w:customStyle="1" w:styleId="Heading4Char">
    <w:name w:val="Heading 4 Char"/>
    <w:basedOn w:val="DefaultParagraphFont"/>
    <w:link w:val="Heading4"/>
    <w:uiPriority w:val="9"/>
    <w:semiHidden/>
    <w:rsid w:val="00E55AEB"/>
    <w:rPr>
      <w:rFonts w:eastAsiaTheme="majorEastAsia" w:cstheme="majorBidi"/>
      <w:i/>
      <w:iCs/>
      <w:noProof/>
      <w:color w:val="0F4761" w:themeColor="accent1" w:themeShade="BF"/>
      <w:lang w:val="tr-TR"/>
    </w:rPr>
  </w:style>
  <w:style w:type="character" w:customStyle="1" w:styleId="Heading5Char">
    <w:name w:val="Heading 5 Char"/>
    <w:basedOn w:val="DefaultParagraphFont"/>
    <w:link w:val="Heading5"/>
    <w:uiPriority w:val="9"/>
    <w:semiHidden/>
    <w:rsid w:val="00E55AEB"/>
    <w:rPr>
      <w:rFonts w:eastAsiaTheme="majorEastAsia" w:cstheme="majorBidi"/>
      <w:noProof/>
      <w:color w:val="0F4761" w:themeColor="accent1" w:themeShade="BF"/>
      <w:lang w:val="tr-TR"/>
    </w:rPr>
  </w:style>
  <w:style w:type="character" w:customStyle="1" w:styleId="Heading6Char">
    <w:name w:val="Heading 6 Char"/>
    <w:basedOn w:val="DefaultParagraphFont"/>
    <w:link w:val="Heading6"/>
    <w:uiPriority w:val="9"/>
    <w:semiHidden/>
    <w:rsid w:val="00E55AEB"/>
    <w:rPr>
      <w:rFonts w:eastAsiaTheme="majorEastAsia" w:cstheme="majorBidi"/>
      <w:i/>
      <w:iCs/>
      <w:noProof/>
      <w:color w:val="595959" w:themeColor="text1" w:themeTint="A6"/>
      <w:lang w:val="tr-TR"/>
    </w:rPr>
  </w:style>
  <w:style w:type="character" w:customStyle="1" w:styleId="Heading7Char">
    <w:name w:val="Heading 7 Char"/>
    <w:basedOn w:val="DefaultParagraphFont"/>
    <w:link w:val="Heading7"/>
    <w:uiPriority w:val="9"/>
    <w:semiHidden/>
    <w:rsid w:val="00E55AEB"/>
    <w:rPr>
      <w:rFonts w:eastAsiaTheme="majorEastAsia" w:cstheme="majorBidi"/>
      <w:noProof/>
      <w:color w:val="595959" w:themeColor="text1" w:themeTint="A6"/>
      <w:lang w:val="tr-TR"/>
    </w:rPr>
  </w:style>
  <w:style w:type="character" w:customStyle="1" w:styleId="Heading8Char">
    <w:name w:val="Heading 8 Char"/>
    <w:basedOn w:val="DefaultParagraphFont"/>
    <w:link w:val="Heading8"/>
    <w:uiPriority w:val="9"/>
    <w:semiHidden/>
    <w:rsid w:val="00E55AEB"/>
    <w:rPr>
      <w:rFonts w:eastAsiaTheme="majorEastAsia" w:cstheme="majorBidi"/>
      <w:i/>
      <w:iCs/>
      <w:noProof/>
      <w:color w:val="272727" w:themeColor="text1" w:themeTint="D8"/>
      <w:lang w:val="tr-TR"/>
    </w:rPr>
  </w:style>
  <w:style w:type="character" w:customStyle="1" w:styleId="Heading9Char">
    <w:name w:val="Heading 9 Char"/>
    <w:basedOn w:val="DefaultParagraphFont"/>
    <w:link w:val="Heading9"/>
    <w:uiPriority w:val="9"/>
    <w:semiHidden/>
    <w:rsid w:val="00E55AEB"/>
    <w:rPr>
      <w:rFonts w:eastAsiaTheme="majorEastAsia" w:cstheme="majorBidi"/>
      <w:noProof/>
      <w:color w:val="272727" w:themeColor="text1" w:themeTint="D8"/>
      <w:lang w:val="tr-TR"/>
    </w:rPr>
  </w:style>
  <w:style w:type="paragraph" w:styleId="Title">
    <w:name w:val="Title"/>
    <w:basedOn w:val="Normal"/>
    <w:next w:val="Normal"/>
    <w:link w:val="TitleChar"/>
    <w:uiPriority w:val="10"/>
    <w:qFormat/>
    <w:rsid w:val="00E55A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5AEB"/>
    <w:rPr>
      <w:rFonts w:asciiTheme="majorHAnsi" w:eastAsiaTheme="majorEastAsia" w:hAnsiTheme="majorHAnsi" w:cstheme="majorBidi"/>
      <w:noProof/>
      <w:spacing w:val="-10"/>
      <w:kern w:val="28"/>
      <w:sz w:val="56"/>
      <w:szCs w:val="56"/>
      <w:lang w:val="tr-TR"/>
    </w:rPr>
  </w:style>
  <w:style w:type="paragraph" w:styleId="Subtitle">
    <w:name w:val="Subtitle"/>
    <w:basedOn w:val="Normal"/>
    <w:next w:val="Normal"/>
    <w:link w:val="SubtitleChar"/>
    <w:uiPriority w:val="11"/>
    <w:qFormat/>
    <w:rsid w:val="00E55A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5AEB"/>
    <w:rPr>
      <w:rFonts w:eastAsiaTheme="majorEastAsia" w:cstheme="majorBidi"/>
      <w:noProof/>
      <w:color w:val="595959" w:themeColor="text1" w:themeTint="A6"/>
      <w:spacing w:val="15"/>
      <w:sz w:val="28"/>
      <w:szCs w:val="28"/>
      <w:lang w:val="tr-TR"/>
    </w:rPr>
  </w:style>
  <w:style w:type="paragraph" w:styleId="Quote">
    <w:name w:val="Quote"/>
    <w:basedOn w:val="Normal"/>
    <w:next w:val="Normal"/>
    <w:link w:val="QuoteChar"/>
    <w:uiPriority w:val="29"/>
    <w:qFormat/>
    <w:rsid w:val="00E55AEB"/>
    <w:pPr>
      <w:spacing w:before="160"/>
      <w:jc w:val="center"/>
    </w:pPr>
    <w:rPr>
      <w:i/>
      <w:iCs/>
      <w:color w:val="404040" w:themeColor="text1" w:themeTint="BF"/>
    </w:rPr>
  </w:style>
  <w:style w:type="character" w:customStyle="1" w:styleId="QuoteChar">
    <w:name w:val="Quote Char"/>
    <w:basedOn w:val="DefaultParagraphFont"/>
    <w:link w:val="Quote"/>
    <w:uiPriority w:val="29"/>
    <w:rsid w:val="00E55AEB"/>
    <w:rPr>
      <w:i/>
      <w:iCs/>
      <w:noProof/>
      <w:color w:val="404040" w:themeColor="text1" w:themeTint="BF"/>
      <w:lang w:val="tr-TR"/>
    </w:rPr>
  </w:style>
  <w:style w:type="paragraph" w:styleId="ListParagraph">
    <w:name w:val="List Paragraph"/>
    <w:basedOn w:val="Normal"/>
    <w:qFormat/>
    <w:rsid w:val="00E55AEB"/>
    <w:pPr>
      <w:ind w:left="720"/>
      <w:contextualSpacing/>
    </w:pPr>
  </w:style>
  <w:style w:type="character" w:styleId="IntenseEmphasis">
    <w:name w:val="Intense Emphasis"/>
    <w:basedOn w:val="DefaultParagraphFont"/>
    <w:uiPriority w:val="21"/>
    <w:qFormat/>
    <w:rsid w:val="00E55AEB"/>
    <w:rPr>
      <w:i/>
      <w:iCs/>
      <w:color w:val="0F4761" w:themeColor="accent1" w:themeShade="BF"/>
    </w:rPr>
  </w:style>
  <w:style w:type="paragraph" w:styleId="IntenseQuote">
    <w:name w:val="Intense Quote"/>
    <w:basedOn w:val="Normal"/>
    <w:next w:val="Normal"/>
    <w:link w:val="IntenseQuoteChar"/>
    <w:uiPriority w:val="30"/>
    <w:qFormat/>
    <w:rsid w:val="00E55A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5AEB"/>
    <w:rPr>
      <w:i/>
      <w:iCs/>
      <w:noProof/>
      <w:color w:val="0F4761" w:themeColor="accent1" w:themeShade="BF"/>
      <w:lang w:val="tr-TR"/>
    </w:rPr>
  </w:style>
  <w:style w:type="character" w:styleId="IntenseReference">
    <w:name w:val="Intense Reference"/>
    <w:basedOn w:val="DefaultParagraphFont"/>
    <w:uiPriority w:val="32"/>
    <w:qFormat/>
    <w:rsid w:val="00E55AEB"/>
    <w:rPr>
      <w:b/>
      <w:bCs/>
      <w:smallCaps/>
      <w:color w:val="0F4761" w:themeColor="accent1" w:themeShade="BF"/>
      <w:spacing w:val="5"/>
    </w:rPr>
  </w:style>
  <w:style w:type="paragraph" w:styleId="NormalWeb">
    <w:name w:val="Normal (Web)"/>
    <w:basedOn w:val="Normal"/>
    <w:uiPriority w:val="99"/>
    <w:unhideWhenUsed/>
    <w:rsid w:val="00E55AEB"/>
    <w:pPr>
      <w:spacing w:before="100" w:beforeAutospacing="1" w:after="100" w:afterAutospacing="1" w:line="240" w:lineRule="auto"/>
    </w:pPr>
    <w:rPr>
      <w:rFonts w:cs="Times New Roman"/>
      <w:kern w:val="0"/>
      <w:lang w:val="en-US"/>
      <w14:ligatures w14:val="none"/>
    </w:rPr>
  </w:style>
  <w:style w:type="character" w:styleId="Strong">
    <w:name w:val="Strong"/>
    <w:basedOn w:val="DefaultParagraphFont"/>
    <w:uiPriority w:val="22"/>
    <w:qFormat/>
    <w:rsid w:val="00E55AEB"/>
    <w:rPr>
      <w:b/>
      <w:bCs/>
    </w:rPr>
  </w:style>
  <w:style w:type="paragraph" w:customStyle="1" w:styleId="isselectedend">
    <w:name w:val="isselectedend"/>
    <w:basedOn w:val="Normal"/>
    <w:rsid w:val="00FD608D"/>
    <w:pPr>
      <w:spacing w:before="100" w:beforeAutospacing="1" w:after="100" w:afterAutospacing="1" w:line="240" w:lineRule="auto"/>
    </w:pPr>
    <w:rPr>
      <w:rFonts w:cs="Times New Roman"/>
      <w:kern w:val="0"/>
      <w:lang w:val="en-US"/>
      <w14:ligatures w14:val="none"/>
    </w:rPr>
  </w:style>
  <w:style w:type="character" w:styleId="Hyperlink">
    <w:name w:val="Hyperlink"/>
    <w:basedOn w:val="DefaultParagraphFont"/>
    <w:uiPriority w:val="99"/>
    <w:unhideWhenUsed/>
    <w:rsid w:val="00C317BD"/>
    <w:rPr>
      <w:color w:val="0000FF"/>
      <w:u w:val="single"/>
    </w:rPr>
  </w:style>
  <w:style w:type="character" w:styleId="UnresolvedMention">
    <w:name w:val="Unresolved Mention"/>
    <w:basedOn w:val="DefaultParagraphFont"/>
    <w:uiPriority w:val="99"/>
    <w:semiHidden/>
    <w:unhideWhenUsed/>
    <w:rsid w:val="00870B5E"/>
    <w:rPr>
      <w:color w:val="605E5C"/>
      <w:shd w:val="clear" w:color="auto" w:fill="E1DFDD"/>
    </w:rPr>
  </w:style>
  <w:style w:type="character" w:styleId="Emphasis">
    <w:name w:val="Emphasis"/>
    <w:basedOn w:val="DefaultParagraphFont"/>
    <w:uiPriority w:val="20"/>
    <w:qFormat/>
    <w:rsid w:val="00FE6E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inikfarmakoloji.com/search/node?keys=sahtekar" TargetMode="External"/><Relationship Id="rId3" Type="http://schemas.openxmlformats.org/officeDocument/2006/relationships/styles" Target="styles.xml"/><Relationship Id="rId7" Type="http://schemas.openxmlformats.org/officeDocument/2006/relationships/hyperlink" Target="https://www.klimik.org.tr/2013/07/17/ilac-endustrisi-isverenleri-sendikasi-baskani-nezih-barut-yerli-ilac-zorda/.......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klinikfarmakoloji.com/search/node?keys=ila%C3%A7ta+kalit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16744-5251-F348-AFFB-CE27742C6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50</Pages>
  <Words>17015</Words>
  <Characters>125064</Characters>
  <Application>Microsoft Office Word</Application>
  <DocSecurity>0</DocSecurity>
  <Lines>1924</Lines>
  <Paragraphs>706</Paragraphs>
  <ScaleCrop>false</ScaleCrop>
  <Company/>
  <LinksUpToDate>false</LinksUpToDate>
  <CharactersWithSpaces>141373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Faik Cankat Tulunay</dc:creator>
  <cp:keywords/>
  <dc:description/>
  <cp:lastModifiedBy>Faik Cankat Tulunay</cp:lastModifiedBy>
  <cp:revision>4</cp:revision>
  <cp:lastPrinted>2026-06-27T15:39:00Z</cp:lastPrinted>
  <dcterms:created xsi:type="dcterms:W3CDTF">2026-07-10T07:51:00Z</dcterms:created>
  <dcterms:modified xsi:type="dcterms:W3CDTF">2026-07-10T09:18:00Z</dcterms:modified>
</cp:coreProperties>
</file>